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755CA" w14:textId="77777777" w:rsidR="00BC1C33" w:rsidRDefault="00000000">
      <w:pPr>
        <w:pStyle w:val="1"/>
      </w:pPr>
      <w:r>
        <w:rPr>
          <w:spacing w:val="-3"/>
        </w:rPr>
        <w:t>特定事業所集中減算「正当な理由」の判断基準</w:t>
      </w:r>
    </w:p>
    <w:p w14:paraId="6E4301CB" w14:textId="77777777" w:rsidR="00BC1C33" w:rsidRDefault="00BC1C33">
      <w:pPr>
        <w:pStyle w:val="a3"/>
        <w:spacing w:before="54"/>
        <w:rPr>
          <w:sz w:val="36"/>
        </w:rPr>
      </w:pPr>
    </w:p>
    <w:p w14:paraId="1BA8B9AA" w14:textId="77777777" w:rsidR="00BC1C33" w:rsidRDefault="00000000">
      <w:pPr>
        <w:pStyle w:val="a3"/>
        <w:spacing w:line="280" w:lineRule="auto"/>
        <w:ind w:left="140" w:right="141" w:firstLine="240"/>
      </w:pPr>
      <w:r>
        <w:rPr>
          <w:spacing w:val="-2"/>
        </w:rPr>
        <w:t>次の「ア～オ」のいずれかに該当する場合は、正当な理由があるものとして取り扱い、減算の対象外となります。</w:t>
      </w:r>
    </w:p>
    <w:p w14:paraId="32E77E68" w14:textId="77777777" w:rsidR="00BC1C33" w:rsidRDefault="00BC1C33">
      <w:pPr>
        <w:pStyle w:val="a3"/>
        <w:spacing w:before="46"/>
      </w:pPr>
    </w:p>
    <w:p w14:paraId="75E938D7" w14:textId="77777777" w:rsidR="00BC1C33" w:rsidRDefault="00000000">
      <w:pPr>
        <w:pStyle w:val="a4"/>
        <w:numPr>
          <w:ilvl w:val="0"/>
          <w:numId w:val="1"/>
        </w:numPr>
        <w:tabs>
          <w:tab w:val="left" w:pos="380"/>
          <w:tab w:val="left" w:pos="508"/>
        </w:tabs>
        <w:spacing w:line="192" w:lineRule="auto"/>
        <w:ind w:right="139" w:hanging="240"/>
        <w:rPr>
          <w:b/>
          <w:sz w:val="24"/>
        </w:rPr>
      </w:pPr>
      <w:r>
        <w:rPr>
          <w:b/>
          <w:spacing w:val="-6"/>
          <w:sz w:val="24"/>
        </w:rPr>
        <w:tab/>
      </w:r>
      <w:r>
        <w:rPr>
          <w:b/>
          <w:spacing w:val="4"/>
          <w:w w:val="99"/>
          <w:sz w:val="24"/>
        </w:rPr>
        <w:t>就労選択支援事業者の</w:t>
      </w:r>
      <w:r>
        <w:rPr>
          <w:b/>
          <w:spacing w:val="4"/>
          <w:w w:val="99"/>
          <w:sz w:val="24"/>
          <w:u w:val="thick"/>
        </w:rPr>
        <w:t>通常の事業の実施地域</w:t>
      </w:r>
      <w:r>
        <w:rPr>
          <w:b/>
          <w:color w:val="ED0000"/>
          <w:spacing w:val="5"/>
          <w:w w:val="123"/>
          <w:sz w:val="24"/>
        </w:rPr>
        <w:t>[</w:t>
      </w:r>
      <w:r>
        <w:rPr>
          <w:b/>
          <w:color w:val="ED0000"/>
          <w:spacing w:val="5"/>
          <w:w w:val="99"/>
          <w:sz w:val="24"/>
        </w:rPr>
        <w:t>注１</w:t>
      </w:r>
      <w:r>
        <w:rPr>
          <w:b/>
          <w:color w:val="ED0000"/>
          <w:spacing w:val="5"/>
          <w:w w:val="123"/>
          <w:sz w:val="24"/>
        </w:rPr>
        <w:t>]</w:t>
      </w:r>
      <w:r>
        <w:rPr>
          <w:b/>
          <w:spacing w:val="3"/>
          <w:w w:val="99"/>
          <w:sz w:val="24"/>
        </w:rPr>
        <w:t>に就労移行支援等がサービスごと</w:t>
      </w:r>
      <w:r>
        <w:rPr>
          <w:b/>
          <w:w w:val="99"/>
          <w:sz w:val="24"/>
        </w:rPr>
        <w:t>でみた場合に５事業所未満である場合などサービス事業所が少数である場合</w:t>
      </w:r>
    </w:p>
    <w:p w14:paraId="0F3680E0" w14:textId="472AFB3C" w:rsidR="00BC1C33" w:rsidRDefault="00000000">
      <w:pPr>
        <w:spacing w:line="368" w:lineRule="exact"/>
        <w:ind w:left="329"/>
        <w:jc w:val="center"/>
      </w:pPr>
      <w:r>
        <w:rPr>
          <w:rFonts w:ascii="游ゴシック" w:eastAsia="游ゴシック"/>
          <w:b/>
          <w:color w:val="ED0000"/>
          <w:spacing w:val="-2"/>
        </w:rPr>
        <w:t>[注１]</w:t>
      </w:r>
      <w:r>
        <w:rPr>
          <w:spacing w:val="-6"/>
        </w:rPr>
        <w:t>通常の事業の実施地域：</w:t>
      </w:r>
      <w:r w:rsidR="006A0685">
        <w:rPr>
          <w:rFonts w:hint="eastAsia"/>
          <w:spacing w:val="-6"/>
        </w:rPr>
        <w:t>県</w:t>
      </w:r>
      <w:r>
        <w:rPr>
          <w:spacing w:val="-6"/>
        </w:rPr>
        <w:t>に届け出ている運営規程において「通常の事業の実施地域」</w:t>
      </w:r>
    </w:p>
    <w:p w14:paraId="38FAD316" w14:textId="77777777" w:rsidR="00BC1C33" w:rsidRDefault="00000000">
      <w:pPr>
        <w:spacing w:before="8"/>
        <w:ind w:left="329" w:right="1155"/>
        <w:jc w:val="center"/>
      </w:pPr>
      <w:r>
        <w:rPr>
          <w:spacing w:val="-3"/>
        </w:rPr>
        <w:t>として定めている地域</w:t>
      </w:r>
    </w:p>
    <w:p w14:paraId="0980D84D" w14:textId="77777777" w:rsidR="00BC1C33" w:rsidRDefault="00000000">
      <w:pPr>
        <w:pStyle w:val="a3"/>
        <w:spacing w:before="5"/>
        <w:rPr>
          <w:sz w:val="15"/>
        </w:rPr>
      </w:pPr>
      <w:r>
        <w:rPr>
          <w:noProof/>
          <w:sz w:val="15"/>
        </w:rPr>
        <mc:AlternateContent>
          <mc:Choice Requires="wps">
            <w:drawing>
              <wp:anchor distT="0" distB="0" distL="0" distR="0" simplePos="0" relativeHeight="487587840" behindDoc="1" locked="0" layoutInCell="1" allowOverlap="1" wp14:anchorId="2F5116E2" wp14:editId="54E7A0CF">
                <wp:simplePos x="0" y="0"/>
                <wp:positionH relativeFrom="page">
                  <wp:posOffset>839724</wp:posOffset>
                </wp:positionH>
                <wp:positionV relativeFrom="paragraph">
                  <wp:posOffset>143958</wp:posOffset>
                </wp:positionV>
                <wp:extent cx="5972810" cy="100901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810" cy="1009015"/>
                        </a:xfrm>
                        <a:prstGeom prst="rect">
                          <a:avLst/>
                        </a:prstGeom>
                        <a:ln w="6096">
                          <a:solidFill>
                            <a:srgbClr val="000000"/>
                          </a:solidFill>
                          <a:prstDash val="solid"/>
                        </a:ln>
                      </wps:spPr>
                      <wps:txbx>
                        <w:txbxContent>
                          <w:p w14:paraId="6EBB6600" w14:textId="77777777" w:rsidR="00BC1C33" w:rsidRDefault="00000000">
                            <w:pPr>
                              <w:pStyle w:val="a3"/>
                              <w:spacing w:before="96" w:line="280" w:lineRule="auto"/>
                              <w:ind w:left="383" w:right="145" w:hanging="240"/>
                              <w:jc w:val="both"/>
                            </w:pPr>
                            <w:r>
                              <w:rPr>
                                <w:spacing w:val="-8"/>
                              </w:rPr>
                              <w:t xml:space="preserve">(例) 就労移行支援事業所として４事業所、就労継続支援Ａ型事業所として </w:t>
                            </w:r>
                            <w:r>
                              <w:rPr>
                                <w:spacing w:val="-2"/>
                              </w:rPr>
                              <w:t>10</w:t>
                            </w:r>
                            <w:r>
                              <w:rPr>
                                <w:spacing w:val="-9"/>
                              </w:rPr>
                              <w:t xml:space="preserve"> 事業所</w:t>
                            </w:r>
                            <w:r>
                              <w:rPr>
                                <w:spacing w:val="-2"/>
                              </w:rPr>
                              <w:t>が所在する地域の場合は、就労移行支援事業について移行率最高法人を位置づけた</w:t>
                            </w:r>
                            <w:r>
                              <w:rPr>
                                <w:spacing w:val="-7"/>
                              </w:rPr>
                              <w:t xml:space="preserve">割合が </w:t>
                            </w:r>
                            <w:r>
                              <w:t>80</w:t>
                            </w:r>
                            <w:r>
                              <w:rPr>
                                <w:spacing w:val="-1"/>
                              </w:rPr>
                              <w:t xml:space="preserve">％を超えても減算は適用されないが、就労継続支援Ａ型について </w:t>
                            </w:r>
                            <w:r>
                              <w:t>80％を</w:t>
                            </w:r>
                            <w:r>
                              <w:rPr>
                                <w:spacing w:val="-2"/>
                              </w:rPr>
                              <w:t>超えた場合には減算が適用される。</w:t>
                            </w:r>
                          </w:p>
                        </w:txbxContent>
                      </wps:txbx>
                      <wps:bodyPr wrap="square" lIns="0" tIns="0" rIns="0" bIns="0" rtlCol="0">
                        <a:noAutofit/>
                      </wps:bodyPr>
                    </wps:wsp>
                  </a:graphicData>
                </a:graphic>
              </wp:anchor>
            </w:drawing>
          </mc:Choice>
          <mc:Fallback>
            <w:pict>
              <v:shapetype w14:anchorId="2F5116E2" id="_x0000_t202" coordsize="21600,21600" o:spt="202" path="m,l,21600r21600,l21600,xe">
                <v:stroke joinstyle="miter"/>
                <v:path gradientshapeok="t" o:connecttype="rect"/>
              </v:shapetype>
              <v:shape id="Textbox 1" o:spid="_x0000_s1026" type="#_x0000_t202" style="position:absolute;margin-left:66.1pt;margin-top:11.35pt;width:470.3pt;height:79.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" filled="f" strokeweight=".48pt">
                <v:path arrowok="t"/>
                <v:textbox inset="0,0,0,0">
                  <w:txbxContent>
                    <w:p w14:paraId="6EBB6600" w14:textId="77777777" w:rsidR="00BC1C33" w:rsidRDefault="00000000">
                      <w:pPr>
                        <w:pStyle w:val="a3"/>
                        <w:spacing w:before="96" w:line="280" w:lineRule="auto"/>
                        <w:ind w:left="383" w:right="145" w:hanging="240"/>
                        <w:jc w:val="both"/>
                      </w:pPr>
                      <w:r>
                        <w:rPr>
                          <w:spacing w:val="-8"/>
                        </w:rPr>
                        <w:t xml:space="preserve">(例) 就労移行支援事業所として４事業所、就労継続支援Ａ型事業所として </w:t>
                      </w:r>
                      <w:r>
                        <w:rPr>
                          <w:spacing w:val="-2"/>
                        </w:rPr>
                        <w:t>10</w:t>
                      </w:r>
                      <w:r>
                        <w:rPr>
                          <w:spacing w:val="-9"/>
                        </w:rPr>
                        <w:t xml:space="preserve"> 事業所</w:t>
                      </w:r>
                      <w:r>
                        <w:rPr>
                          <w:spacing w:val="-2"/>
                        </w:rPr>
                        <w:t>が所在する地域の場合は、就労移行支援事業について移行率最高法人を位置づけた</w:t>
                      </w:r>
                      <w:r>
                        <w:rPr>
                          <w:spacing w:val="-7"/>
                        </w:rPr>
                        <w:t xml:space="preserve">割合が </w:t>
                      </w:r>
                      <w:r>
                        <w:t>80</w:t>
                      </w:r>
                      <w:r>
                        <w:rPr>
                          <w:spacing w:val="-1"/>
                        </w:rPr>
                        <w:t xml:space="preserve">％を超えても減算は適用されないが、就労継続支援Ａ型について </w:t>
                      </w:r>
                      <w:r>
                        <w:t>80％を</w:t>
                      </w:r>
                      <w:r>
                        <w:rPr>
                          <w:spacing w:val="-2"/>
                        </w:rPr>
                        <w:t>超えた場合には減算が適用される。</w:t>
                      </w:r>
                    </w:p>
                  </w:txbxContent>
                </v:textbox>
                <w10:wrap type="topAndBottom" anchorx="page"/>
              </v:shape>
            </w:pict>
          </mc:Fallback>
        </mc:AlternateContent>
      </w:r>
      <w:r>
        <w:rPr>
          <w:noProof/>
          <w:sz w:val="15"/>
        </w:rPr>
        <mc:AlternateContent>
          <mc:Choice Requires="wps">
            <w:drawing>
              <wp:anchor distT="0" distB="0" distL="0" distR="0" simplePos="0" relativeHeight="487588352" behindDoc="1" locked="0" layoutInCell="1" allowOverlap="1" wp14:anchorId="551114B1" wp14:editId="0B53AEEF">
                <wp:simplePos x="0" y="0"/>
                <wp:positionH relativeFrom="page">
                  <wp:posOffset>839724</wp:posOffset>
                </wp:positionH>
                <wp:positionV relativeFrom="paragraph">
                  <wp:posOffset>1334202</wp:posOffset>
                </wp:positionV>
                <wp:extent cx="5972810" cy="104711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810" cy="1047115"/>
                        </a:xfrm>
                        <a:prstGeom prst="rect">
                          <a:avLst/>
                        </a:prstGeom>
                        <a:ln w="6096">
                          <a:solidFill>
                            <a:srgbClr val="000000"/>
                          </a:solidFill>
                          <a:prstDash val="solid"/>
                        </a:ln>
                      </wps:spPr>
                      <wps:txbx>
                        <w:txbxContent>
                          <w:p w14:paraId="40E8A1F4" w14:textId="77777777" w:rsidR="00BC1C33" w:rsidRDefault="00000000">
                            <w:pPr>
                              <w:pStyle w:val="a3"/>
                              <w:spacing w:before="96" w:line="280" w:lineRule="auto"/>
                              <w:ind w:left="383" w:right="139" w:hanging="240"/>
                              <w:jc w:val="both"/>
                            </w:pPr>
                            <w:r>
                              <w:t>(</w:t>
                            </w:r>
                            <w:r>
                              <w:t>例) 就労移行支援事業所として４事業所、就労継続支援Ａ型事業所として４事業所</w:t>
                            </w:r>
                            <w:r>
                              <w:rPr>
                                <w:spacing w:val="-2"/>
                              </w:rPr>
                              <w:t>が所在する地域の場合は、就労移行支援事業所及び就労継続支援Ａ型事業所それぞ</w:t>
                            </w:r>
                            <w:r>
                              <w:t>れについて移行率最高法人を位置づけた割合が 80％を超えた場合でも減算は適用</w:t>
                            </w:r>
                            <w:r>
                              <w:rPr>
                                <w:spacing w:val="-2"/>
                              </w:rPr>
                              <w:t>されない。</w:t>
                            </w:r>
                          </w:p>
                        </w:txbxContent>
                      </wps:txbx>
                      <wps:bodyPr wrap="square" lIns="0" tIns="0" rIns="0" bIns="0" rtlCol="0">
                        <a:noAutofit/>
                      </wps:bodyPr>
                    </wps:wsp>
                  </a:graphicData>
                </a:graphic>
              </wp:anchor>
            </w:drawing>
          </mc:Choice>
          <mc:Fallback>
            <w:pict>
              <v:shape w14:anchorId="551114B1" id="Textbox 2" o:spid="_x0000_s1027" type="#_x0000_t202" style="position:absolute;margin-left:66.1pt;margin-top:105.05pt;width:470.3pt;height:82.4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" filled="f" strokeweight=".48pt">
                <v:path arrowok="t"/>
                <v:textbox inset="0,0,0,0">
                  <w:txbxContent>
                    <w:p w14:paraId="40E8A1F4" w14:textId="77777777" w:rsidR="00BC1C33" w:rsidRDefault="00000000">
                      <w:pPr>
                        <w:pStyle w:val="a3"/>
                        <w:spacing w:before="96" w:line="280" w:lineRule="auto"/>
                        <w:ind w:left="383" w:right="139" w:hanging="240"/>
                        <w:jc w:val="both"/>
                      </w:pPr>
                      <w:r>
                        <w:t>(</w:t>
                      </w:r>
                      <w:r>
                        <w:t>例) 就労移行支援事業所として４事業所、就労継続支援Ａ型事業所として４事業所</w:t>
                      </w:r>
                      <w:r>
                        <w:rPr>
                          <w:spacing w:val="-2"/>
                        </w:rPr>
                        <w:t>が所在する地域の場合は、就労移行支援事業所及び就労継続支援Ａ型事業所それぞ</w:t>
                      </w:r>
                      <w:r>
                        <w:t>れについて移行率最高法人を位置づけた割合が 80％を超えた場合でも減算は適用</w:t>
                      </w:r>
                      <w:r>
                        <w:rPr>
                          <w:spacing w:val="-2"/>
                        </w:rPr>
                        <w:t>されない。</w:t>
                      </w:r>
                    </w:p>
                  </w:txbxContent>
                </v:textbox>
                <w10:wrap type="topAndBottom" anchorx="page"/>
              </v:shape>
            </w:pict>
          </mc:Fallback>
        </mc:AlternateContent>
      </w:r>
    </w:p>
    <w:p w14:paraId="2EF6A544" w14:textId="77777777" w:rsidR="00BC1C33" w:rsidRDefault="00BC1C33">
      <w:pPr>
        <w:pStyle w:val="a3"/>
        <w:rPr>
          <w:sz w:val="20"/>
        </w:rPr>
      </w:pPr>
    </w:p>
    <w:p w14:paraId="472EEA62" w14:textId="77777777" w:rsidR="00BC1C33" w:rsidRDefault="00BC1C33">
      <w:pPr>
        <w:pStyle w:val="a3"/>
        <w:rPr>
          <w:sz w:val="22"/>
        </w:rPr>
      </w:pPr>
    </w:p>
    <w:p w14:paraId="6DE292C8" w14:textId="77777777" w:rsidR="00BC1C33" w:rsidRDefault="00BC1C33">
      <w:pPr>
        <w:pStyle w:val="a3"/>
        <w:spacing w:before="3"/>
        <w:rPr>
          <w:sz w:val="22"/>
        </w:rPr>
      </w:pPr>
    </w:p>
    <w:p w14:paraId="2825F30D" w14:textId="77777777" w:rsidR="00BC1C33" w:rsidRDefault="00000000">
      <w:pPr>
        <w:pStyle w:val="2"/>
        <w:numPr>
          <w:ilvl w:val="0"/>
          <w:numId w:val="1"/>
        </w:numPr>
        <w:tabs>
          <w:tab w:val="left" w:pos="501"/>
        </w:tabs>
        <w:ind w:left="501" w:hanging="361"/>
      </w:pPr>
      <w:r>
        <w:rPr>
          <w:spacing w:val="-7"/>
        </w:rPr>
        <w:t>視覚・聴覚言語障害者支援体制加算、高次脳機能障害者支援体制加算を受けている場合</w:t>
      </w:r>
    </w:p>
    <w:p w14:paraId="52E9FEE1" w14:textId="77777777" w:rsidR="00BC1C33" w:rsidRDefault="00000000">
      <w:pPr>
        <w:pStyle w:val="a4"/>
        <w:numPr>
          <w:ilvl w:val="0"/>
          <w:numId w:val="1"/>
        </w:numPr>
        <w:tabs>
          <w:tab w:val="left" w:pos="380"/>
          <w:tab w:val="left" w:pos="508"/>
        </w:tabs>
        <w:spacing w:before="329" w:line="192" w:lineRule="auto"/>
        <w:ind w:right="134" w:hanging="240"/>
        <w:rPr>
          <w:b/>
          <w:sz w:val="24"/>
        </w:rPr>
      </w:pPr>
      <w:r>
        <w:rPr>
          <w:b/>
          <w:sz w:val="24"/>
        </w:rPr>
        <w:tab/>
      </w:r>
      <w:r>
        <w:rPr>
          <w:b/>
          <w:spacing w:val="-2"/>
          <w:sz w:val="24"/>
        </w:rPr>
        <w:t>判定期間においてアセスメントを終了した利用者のうち、それぞれのサービスにつながった件数が５件以下であるなど、サービスの利用が少数である場合</w:t>
      </w:r>
    </w:p>
    <w:p w14:paraId="75E3F0AD" w14:textId="77777777" w:rsidR="00BC1C33" w:rsidRDefault="00000000">
      <w:pPr>
        <w:pStyle w:val="a3"/>
        <w:spacing w:before="14"/>
        <w:rPr>
          <w:rFonts w:ascii="游ゴシック"/>
          <w:b/>
          <w:sz w:val="4"/>
        </w:rPr>
      </w:pPr>
      <w:r>
        <w:rPr>
          <w:rFonts w:ascii="游ゴシック"/>
          <w:b/>
          <w:noProof/>
          <w:sz w:val="4"/>
        </w:rPr>
        <mc:AlternateContent>
          <mc:Choice Requires="wps">
            <w:drawing>
              <wp:anchor distT="0" distB="0" distL="0" distR="0" simplePos="0" relativeHeight="487588864" behindDoc="1" locked="0" layoutInCell="1" allowOverlap="1" wp14:anchorId="246AB821" wp14:editId="2D269165">
                <wp:simplePos x="0" y="0"/>
                <wp:positionH relativeFrom="page">
                  <wp:posOffset>839724</wp:posOffset>
                </wp:positionH>
                <wp:positionV relativeFrom="paragraph">
                  <wp:posOffset>75791</wp:posOffset>
                </wp:positionV>
                <wp:extent cx="5972810" cy="110490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810" cy="1104900"/>
                        </a:xfrm>
                        <a:prstGeom prst="rect">
                          <a:avLst/>
                        </a:prstGeom>
                        <a:ln w="6096">
                          <a:solidFill>
                            <a:srgbClr val="000000"/>
                          </a:solidFill>
                          <a:prstDash val="solid"/>
                        </a:ln>
                      </wps:spPr>
                      <wps:txbx>
                        <w:txbxContent>
                          <w:p w14:paraId="2501DA7D" w14:textId="77777777" w:rsidR="00BC1C33" w:rsidRDefault="00000000">
                            <w:pPr>
                              <w:pStyle w:val="a3"/>
                              <w:spacing w:before="96" w:line="280" w:lineRule="auto"/>
                              <w:ind w:left="383" w:right="139" w:hanging="240"/>
                              <w:jc w:val="both"/>
                            </w:pPr>
                            <w:r>
                              <w:t>(</w:t>
                            </w:r>
                            <w:r>
                              <w:t xml:space="preserve">例) 判定期間において、就労移行支援につながった件数が合計５件、就労継続支援 </w:t>
                            </w:r>
                            <w:r>
                              <w:rPr>
                                <w:spacing w:val="-2"/>
                              </w:rPr>
                              <w:t xml:space="preserve">Ａ型につながった件数が合計 </w:t>
                            </w:r>
                            <w:r>
                              <w:t>10</w:t>
                            </w:r>
                            <w:r>
                              <w:rPr>
                                <w:spacing w:val="-5"/>
                              </w:rPr>
                              <w:t xml:space="preserve"> 件の場合は、就労移行支援について移行率最高法</w:t>
                            </w:r>
                            <w:r>
                              <w:rPr>
                                <w:spacing w:val="-4"/>
                              </w:rPr>
                              <w:t xml:space="preserve">人を位置づけた割合が </w:t>
                            </w:r>
                            <w:r>
                              <w:rPr>
                                <w:spacing w:val="-2"/>
                              </w:rPr>
                              <w:t>80</w:t>
                            </w:r>
                            <w:r>
                              <w:rPr>
                                <w:spacing w:val="-6"/>
                              </w:rPr>
                              <w:t>％を超えても減算は適用されないが、就労継続支援Ａ型に</w:t>
                            </w:r>
                            <w:r>
                              <w:rPr>
                                <w:spacing w:val="-10"/>
                              </w:rPr>
                              <w:t xml:space="preserve">ついて </w:t>
                            </w:r>
                            <w:r>
                              <w:t>80％を超えた場合には減算が適用される。</w:t>
                            </w:r>
                          </w:p>
                        </w:txbxContent>
                      </wps:txbx>
                      <wps:bodyPr wrap="square" lIns="0" tIns="0" rIns="0" bIns="0" rtlCol="0">
                        <a:noAutofit/>
                      </wps:bodyPr>
                    </wps:wsp>
                  </a:graphicData>
                </a:graphic>
              </wp:anchor>
            </w:drawing>
          </mc:Choice>
          <mc:Fallback>
            <w:pict>
              <v:shape w14:anchorId="246AB821" id="Textbox 3" o:spid="_x0000_s1028" type="#_x0000_t202" style="position:absolute;margin-left:66.1pt;margin-top:5.95pt;width:470.3pt;height:87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" filled="f" strokeweight=".48pt">
                <v:path arrowok="t"/>
                <v:textbox inset="0,0,0,0">
                  <w:txbxContent>
                    <w:p w14:paraId="2501DA7D" w14:textId="77777777" w:rsidR="00BC1C33" w:rsidRDefault="00000000">
                      <w:pPr>
                        <w:pStyle w:val="a3"/>
                        <w:spacing w:before="96" w:line="280" w:lineRule="auto"/>
                        <w:ind w:left="383" w:right="139" w:hanging="240"/>
                        <w:jc w:val="both"/>
                      </w:pPr>
                      <w:r>
                        <w:t>(</w:t>
                      </w:r>
                      <w:r>
                        <w:t xml:space="preserve">例) 判定期間において、就労移行支援につながった件数が合計５件、就労継続支援 </w:t>
                      </w:r>
                      <w:r>
                        <w:rPr>
                          <w:spacing w:val="-2"/>
                        </w:rPr>
                        <w:t xml:space="preserve">Ａ型につながった件数が合計 </w:t>
                      </w:r>
                      <w:r>
                        <w:t>10</w:t>
                      </w:r>
                      <w:r>
                        <w:rPr>
                          <w:spacing w:val="-5"/>
                        </w:rPr>
                        <w:t xml:space="preserve"> 件の場合は、就労移行支援について移行率最高法</w:t>
                      </w:r>
                      <w:r>
                        <w:rPr>
                          <w:spacing w:val="-4"/>
                        </w:rPr>
                        <w:t xml:space="preserve">人を位置づけた割合が </w:t>
                      </w:r>
                      <w:r>
                        <w:rPr>
                          <w:spacing w:val="-2"/>
                        </w:rPr>
                        <w:t>80</w:t>
                      </w:r>
                      <w:r>
                        <w:rPr>
                          <w:spacing w:val="-6"/>
                        </w:rPr>
                        <w:t>％を超えても減算は適用されないが、就労継続支援Ａ型に</w:t>
                      </w:r>
                      <w:r>
                        <w:rPr>
                          <w:spacing w:val="-10"/>
                        </w:rPr>
                        <w:t xml:space="preserve">ついて </w:t>
                      </w:r>
                      <w:r>
                        <w:t>80％を超えた場合には減算が適用される。</w:t>
                      </w:r>
                    </w:p>
                  </w:txbxContent>
                </v:textbox>
                <w10:wrap type="topAndBottom" anchorx="page"/>
              </v:shape>
            </w:pict>
          </mc:Fallback>
        </mc:AlternateContent>
      </w:r>
    </w:p>
    <w:p w14:paraId="44950F1D" w14:textId="77777777" w:rsidR="00BC1C33" w:rsidRDefault="00BC1C33">
      <w:pPr>
        <w:pStyle w:val="a3"/>
        <w:spacing w:before="205"/>
        <w:rPr>
          <w:rFonts w:ascii="游ゴシック"/>
          <w:b/>
        </w:rPr>
      </w:pPr>
    </w:p>
    <w:p w14:paraId="2571A587" w14:textId="77777777" w:rsidR="00BC1C33" w:rsidRDefault="00000000">
      <w:pPr>
        <w:pStyle w:val="2"/>
        <w:numPr>
          <w:ilvl w:val="0"/>
          <w:numId w:val="1"/>
        </w:numPr>
        <w:tabs>
          <w:tab w:val="left" w:pos="380"/>
          <w:tab w:val="left" w:pos="508"/>
        </w:tabs>
        <w:spacing w:line="192" w:lineRule="auto"/>
        <w:ind w:right="134" w:hanging="240"/>
      </w:pPr>
      <w:r>
        <w:tab/>
      </w:r>
      <w:r>
        <w:rPr>
          <w:spacing w:val="-2"/>
        </w:rPr>
        <w:t>サービスの質が高いことによる利用者の希望を勘案した場合などにより特定の事業者に集中していると認められる場合</w:t>
      </w:r>
    </w:p>
    <w:p w14:paraId="13E7E54B" w14:textId="77777777" w:rsidR="00BC1C33" w:rsidRDefault="00000000">
      <w:pPr>
        <w:pStyle w:val="a3"/>
        <w:spacing w:before="9"/>
        <w:rPr>
          <w:rFonts w:ascii="游ゴシック"/>
          <w:b/>
          <w:sz w:val="2"/>
        </w:rPr>
      </w:pPr>
      <w:r>
        <w:rPr>
          <w:rFonts w:ascii="游ゴシック"/>
          <w:b/>
          <w:noProof/>
          <w:sz w:val="2"/>
        </w:rPr>
        <mc:AlternateContent>
          <mc:Choice Requires="wps">
            <w:drawing>
              <wp:anchor distT="0" distB="0" distL="0" distR="0" simplePos="0" relativeHeight="487589376" behindDoc="1" locked="0" layoutInCell="1" allowOverlap="1" wp14:anchorId="3BA4AD81" wp14:editId="37A0F13A">
                <wp:simplePos x="0" y="0"/>
                <wp:positionH relativeFrom="page">
                  <wp:posOffset>826008</wp:posOffset>
                </wp:positionH>
                <wp:positionV relativeFrom="paragraph">
                  <wp:posOffset>48073</wp:posOffset>
                </wp:positionV>
                <wp:extent cx="5972810" cy="78803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810" cy="788035"/>
                        </a:xfrm>
                        <a:prstGeom prst="rect">
                          <a:avLst/>
                        </a:prstGeom>
                        <a:ln w="6096">
                          <a:solidFill>
                            <a:srgbClr val="000000"/>
                          </a:solidFill>
                          <a:prstDash val="solid"/>
                        </a:ln>
                      </wps:spPr>
                      <wps:txbx>
                        <w:txbxContent>
                          <w:p w14:paraId="35873148" w14:textId="77777777" w:rsidR="00BC1C33" w:rsidRDefault="00000000">
                            <w:pPr>
                              <w:pStyle w:val="a3"/>
                              <w:spacing w:before="98" w:line="280" w:lineRule="auto"/>
                              <w:ind w:left="383" w:right="133" w:hanging="240"/>
                              <w:jc w:val="both"/>
                            </w:pPr>
                            <w:r>
                              <w:t>(</w:t>
                            </w:r>
                            <w:r>
                              <w:t>例) 就労選択支援事業者が、利用者から質が高いことを理由に当該事業所を利用し</w:t>
                            </w:r>
                            <w:r>
                              <w:rPr>
                                <w:spacing w:val="-2"/>
                              </w:rPr>
                              <w:t>たい旨の理由書の提出を受けている場合であって、支給決定権者に当該利用者のア</w:t>
                            </w:r>
                            <w:r>
                              <w:rPr>
                                <w:spacing w:val="-3"/>
                              </w:rPr>
                              <w:t>セスメント結果を提出した上で支援内容についての意見・助言を受けている場合。</w:t>
                            </w:r>
                          </w:p>
                        </w:txbxContent>
                      </wps:txbx>
                      <wps:bodyPr wrap="square" lIns="0" tIns="0" rIns="0" bIns="0" rtlCol="0">
                        <a:noAutofit/>
                      </wps:bodyPr>
                    </wps:wsp>
                  </a:graphicData>
                </a:graphic>
              </wp:anchor>
            </w:drawing>
          </mc:Choice>
          <mc:Fallback>
            <w:pict>
              <v:shape w14:anchorId="3BA4AD81" id="Textbox 4" o:spid="_x0000_s1029" type="#_x0000_t202" style="position:absolute;margin-left:65.05pt;margin-top:3.8pt;width:470.3pt;height:62.0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" filled="f" strokeweight=".48pt">
                <v:path arrowok="t"/>
                <v:textbox inset="0,0,0,0">
                  <w:txbxContent>
                    <w:p w14:paraId="35873148" w14:textId="77777777" w:rsidR="00BC1C33" w:rsidRDefault="00000000">
                      <w:pPr>
                        <w:pStyle w:val="a3"/>
                        <w:spacing w:before="98" w:line="280" w:lineRule="auto"/>
                        <w:ind w:left="383" w:right="133" w:hanging="240"/>
                        <w:jc w:val="both"/>
                      </w:pPr>
                      <w:r>
                        <w:t>(</w:t>
                      </w:r>
                      <w:r>
                        <w:t>例) 就労選択支援事業者が、利用者から質が高いことを理由に当該事業所を利用し</w:t>
                      </w:r>
                      <w:r>
                        <w:rPr>
                          <w:spacing w:val="-2"/>
                        </w:rPr>
                        <w:t>たい旨の理由書の提出を受けている場合であって、支給決定権者に当該利用者のア</w:t>
                      </w:r>
                      <w:r>
                        <w:rPr>
                          <w:spacing w:val="-3"/>
                        </w:rPr>
                        <w:t>セスメント結果を提出した上で支援内容についての意見・助言を受けている場合。</w:t>
                      </w:r>
                    </w:p>
                  </w:txbxContent>
                </v:textbox>
                <w10:wrap type="topAndBottom" anchorx="page"/>
              </v:shape>
            </w:pict>
          </mc:Fallback>
        </mc:AlternateContent>
      </w:r>
    </w:p>
    <w:p w14:paraId="42541908" w14:textId="77777777" w:rsidR="00BC1C33" w:rsidRDefault="00000000">
      <w:pPr>
        <w:pStyle w:val="a4"/>
        <w:numPr>
          <w:ilvl w:val="0"/>
          <w:numId w:val="1"/>
        </w:numPr>
        <w:tabs>
          <w:tab w:val="left" w:pos="501"/>
        </w:tabs>
        <w:spacing w:before="418"/>
        <w:ind w:left="501" w:hanging="361"/>
        <w:rPr>
          <w:b/>
          <w:sz w:val="24"/>
        </w:rPr>
      </w:pPr>
      <w:r>
        <w:rPr>
          <w:b/>
          <w:spacing w:val="-3"/>
          <w:sz w:val="24"/>
        </w:rPr>
        <w:t>その他正当な理由と指定権者が認めた場合</w:t>
      </w:r>
    </w:p>
    <w:sectPr w:rsidR="00BC1C33" w:rsidSect="006A0685">
      <w:type w:val="continuous"/>
      <w:pgSz w:w="11900" w:h="16840"/>
      <w:pgMar w:top="1134" w:right="992" w:bottom="1134"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21109"/>
    <w:multiLevelType w:val="hybridMultilevel"/>
    <w:tmpl w:val="709C97A4"/>
    <w:lvl w:ilvl="0" w:tplc="FB06D656">
      <w:start w:val="1"/>
      <w:numFmt w:val="aiueoFullWidth"/>
      <w:lvlText w:val="%1"/>
      <w:lvlJc w:val="left"/>
      <w:pPr>
        <w:ind w:left="380" w:hanging="370"/>
        <w:jc w:val="left"/>
      </w:pPr>
      <w:rPr>
        <w:rFonts w:ascii="游ゴシック" w:eastAsia="游ゴシック" w:hAnsi="游ゴシック" w:cs="游ゴシック" w:hint="default"/>
        <w:b/>
        <w:bCs/>
        <w:i w:val="0"/>
        <w:iCs w:val="0"/>
        <w:spacing w:val="0"/>
        <w:w w:val="99"/>
        <w:sz w:val="24"/>
        <w:szCs w:val="24"/>
        <w:lang w:val="en-US" w:eastAsia="ja-JP" w:bidi="ar-SA"/>
      </w:rPr>
    </w:lvl>
    <w:lvl w:ilvl="1" w:tplc="56A68E9C">
      <w:numFmt w:val="bullet"/>
      <w:lvlText w:val="•"/>
      <w:lvlJc w:val="left"/>
      <w:pPr>
        <w:ind w:left="1333" w:hanging="370"/>
      </w:pPr>
      <w:rPr>
        <w:rFonts w:hint="default"/>
        <w:lang w:val="en-US" w:eastAsia="ja-JP" w:bidi="ar-SA"/>
      </w:rPr>
    </w:lvl>
    <w:lvl w:ilvl="2" w:tplc="6340FBC0">
      <w:numFmt w:val="bullet"/>
      <w:lvlText w:val="•"/>
      <w:lvlJc w:val="left"/>
      <w:pPr>
        <w:ind w:left="2287" w:hanging="370"/>
      </w:pPr>
      <w:rPr>
        <w:rFonts w:hint="default"/>
        <w:lang w:val="en-US" w:eastAsia="ja-JP" w:bidi="ar-SA"/>
      </w:rPr>
    </w:lvl>
    <w:lvl w:ilvl="3" w:tplc="A79A69F0">
      <w:numFmt w:val="bullet"/>
      <w:lvlText w:val="•"/>
      <w:lvlJc w:val="left"/>
      <w:pPr>
        <w:ind w:left="3240" w:hanging="370"/>
      </w:pPr>
      <w:rPr>
        <w:rFonts w:hint="default"/>
        <w:lang w:val="en-US" w:eastAsia="ja-JP" w:bidi="ar-SA"/>
      </w:rPr>
    </w:lvl>
    <w:lvl w:ilvl="4" w:tplc="8550B3F6">
      <w:numFmt w:val="bullet"/>
      <w:lvlText w:val="•"/>
      <w:lvlJc w:val="left"/>
      <w:pPr>
        <w:ind w:left="4194" w:hanging="370"/>
      </w:pPr>
      <w:rPr>
        <w:rFonts w:hint="default"/>
        <w:lang w:val="en-US" w:eastAsia="ja-JP" w:bidi="ar-SA"/>
      </w:rPr>
    </w:lvl>
    <w:lvl w:ilvl="5" w:tplc="758ABF5A">
      <w:numFmt w:val="bullet"/>
      <w:lvlText w:val="•"/>
      <w:lvlJc w:val="left"/>
      <w:pPr>
        <w:ind w:left="5148" w:hanging="370"/>
      </w:pPr>
      <w:rPr>
        <w:rFonts w:hint="default"/>
        <w:lang w:val="en-US" w:eastAsia="ja-JP" w:bidi="ar-SA"/>
      </w:rPr>
    </w:lvl>
    <w:lvl w:ilvl="6" w:tplc="8B6AC67A">
      <w:numFmt w:val="bullet"/>
      <w:lvlText w:val="•"/>
      <w:lvlJc w:val="left"/>
      <w:pPr>
        <w:ind w:left="6101" w:hanging="370"/>
      </w:pPr>
      <w:rPr>
        <w:rFonts w:hint="default"/>
        <w:lang w:val="en-US" w:eastAsia="ja-JP" w:bidi="ar-SA"/>
      </w:rPr>
    </w:lvl>
    <w:lvl w:ilvl="7" w:tplc="D1FE7334">
      <w:numFmt w:val="bullet"/>
      <w:lvlText w:val="•"/>
      <w:lvlJc w:val="left"/>
      <w:pPr>
        <w:ind w:left="7055" w:hanging="370"/>
      </w:pPr>
      <w:rPr>
        <w:rFonts w:hint="default"/>
        <w:lang w:val="en-US" w:eastAsia="ja-JP" w:bidi="ar-SA"/>
      </w:rPr>
    </w:lvl>
    <w:lvl w:ilvl="8" w:tplc="0C08D462">
      <w:numFmt w:val="bullet"/>
      <w:lvlText w:val="•"/>
      <w:lvlJc w:val="left"/>
      <w:pPr>
        <w:ind w:left="8008" w:hanging="370"/>
      </w:pPr>
      <w:rPr>
        <w:rFonts w:hint="default"/>
        <w:lang w:val="en-US" w:eastAsia="ja-JP" w:bidi="ar-SA"/>
      </w:rPr>
    </w:lvl>
  </w:abstractNum>
  <w:num w:numId="1" w16cid:durableId="1379817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BC1C33"/>
    <w:rsid w:val="006A0685"/>
    <w:rsid w:val="00BC1C33"/>
    <w:rsid w:val="00D14C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55177F"/>
  <w15:docId w15:val="{23FAFD6D-A15C-42B6-8868-00CE4B35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spacing w:before="24"/>
      <w:ind w:left="1"/>
      <w:jc w:val="center"/>
      <w:outlineLvl w:val="0"/>
    </w:pPr>
    <w:rPr>
      <w:sz w:val="36"/>
      <w:szCs w:val="36"/>
    </w:rPr>
  </w:style>
  <w:style w:type="paragraph" w:styleId="2">
    <w:name w:val="heading 2"/>
    <w:basedOn w:val="a"/>
    <w:uiPriority w:val="9"/>
    <w:unhideWhenUsed/>
    <w:qFormat/>
    <w:pPr>
      <w:ind w:left="380" w:hanging="240"/>
      <w:outlineLvl w:val="1"/>
    </w:pPr>
    <w:rPr>
      <w:rFonts w:ascii="游ゴシック" w:eastAsia="游ゴシック" w:hAnsi="游ゴシック" w:cs="游ゴシック"/>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380" w:hanging="240"/>
    </w:pPr>
    <w:rPr>
      <w:rFonts w:ascii="游ゴシック" w:eastAsia="游ゴシック" w:hAnsi="游ゴシック" w:cs="游ゴシック"/>
    </w:r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Words>
  <Characters>343</Characters>
  <Application>Microsoft Office Word</Application>
  <DocSecurity>0</DocSecurity>
  <Lines>2</Lines>
  <Paragraphs>1</Paragraphs>
  <ScaleCrop>false</ScaleCrop>
  <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桑原 大</cp:lastModifiedBy>
  <cp:revision>2</cp:revision>
  <dcterms:created xsi:type="dcterms:W3CDTF">2026-09-07T06:18:00Z</dcterms:created>
  <dcterms:modified xsi:type="dcterms:W3CDTF">2026-09-07T06:20:00Z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2026-03-23T00:00:00Z</vt:filetime>
  </property>
  <property fmtid="{D5CDD505-2E9C-101B-9397-08002B2CF9AE}" pid="4" name="Creator">
    <vt:lpwstr>DocuWorks PDF Driver 7.0.12</vt:lpwstr>
  </property>
  <property fmtid="{D5CDD505-2E9C-101B-9397-08002B2CF9AE}" pid="5" name="LastSaved">
    <vt:filetime>2026-09-07T00:00:00Z</vt:filetime>
  </property>
  <property fmtid="{D5CDD505-2E9C-101B-9397-08002B2CF9AE}" pid="6" name="Producer">
    <vt:lpwstr>DocuWorks PDF Build 7.0.12</vt:lpwstr>
  </property>
</Properties>
</file>