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9B" w:rsidRPr="00EE45B1" w:rsidRDefault="00B2459B">
      <w:pPr>
        <w:spacing w:after="120"/>
      </w:pPr>
      <w:r w:rsidRPr="00EE45B1">
        <w:rPr>
          <w:rFonts w:hint="eastAsia"/>
        </w:rPr>
        <w:t>様式第十一号</w:t>
      </w:r>
      <w:r w:rsidRPr="00EE45B1">
        <w:t>(</w:t>
      </w:r>
      <w:r w:rsidRPr="00EE45B1">
        <w:rPr>
          <w:rFonts w:hint="eastAsia"/>
        </w:rPr>
        <w:t>第十一条関係</w:t>
      </w:r>
      <w:r w:rsidRPr="00EE45B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407"/>
        <w:gridCol w:w="1218"/>
        <w:gridCol w:w="840"/>
      </w:tblGrid>
      <w:tr w:rsidR="00B2459B" w:rsidRPr="00EE45B1" w:rsidTr="006B10AF">
        <w:trPr>
          <w:cantSplit/>
          <w:trHeight w:val="873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spacing w:line="300" w:lineRule="auto"/>
              <w:ind w:left="113" w:right="113"/>
              <w:rPr>
                <w:rFonts w:hAnsi="Century"/>
              </w:rPr>
            </w:pPr>
            <w:bookmarkStart w:id="0" w:name="MatchedText2" w:colFirst="0" w:colLast="0"/>
            <w:r w:rsidRPr="00EE45B1">
              <w:rPr>
                <w:rFonts w:hAnsi="Century" w:hint="eastAsia"/>
              </w:rPr>
              <w:t xml:space="preserve">　一　用途廃止の事由</w:t>
            </w:r>
          </w:p>
          <w:p w:rsidR="00B2459B" w:rsidRPr="00EE45B1" w:rsidRDefault="00B2459B">
            <w:pPr>
              <w:spacing w:line="300" w:lineRule="auto"/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二　用途廃止後の用途</w:t>
            </w:r>
          </w:p>
          <w:p w:rsidR="00B2459B" w:rsidRPr="00EE45B1" w:rsidRDefault="00B2459B">
            <w:pPr>
              <w:spacing w:line="300" w:lineRule="auto"/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右</w:t>
            </w:r>
            <w:bookmarkStart w:id="1" w:name="_GoBack"/>
            <w:bookmarkEnd w:id="1"/>
            <w:r w:rsidRPr="00EE45B1">
              <w:rPr>
                <w:rFonts w:hAnsi="Century" w:hint="eastAsia"/>
              </w:rPr>
              <w:t>のとおり用途を廃止したから、牧野法施行規則第十七条の規定により、お届けします。</w:t>
            </w:r>
          </w:p>
          <w:p w:rsidR="00B2459B" w:rsidRPr="00EE45B1" w:rsidRDefault="00B2459B">
            <w:pPr>
              <w:spacing w:line="300" w:lineRule="auto"/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　　　　年　月　日</w:t>
            </w:r>
          </w:p>
          <w:p w:rsidR="00B2459B" w:rsidRPr="00EE45B1" w:rsidRDefault="00B2459B">
            <w:pPr>
              <w:spacing w:line="300" w:lineRule="auto"/>
              <w:ind w:left="113" w:right="113"/>
              <w:jc w:val="right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指示を受けた者の住所　　　　　　　　　</w:t>
            </w:r>
          </w:p>
          <w:p w:rsidR="00B2459B" w:rsidRPr="00EE45B1" w:rsidRDefault="00B2459B">
            <w:pPr>
              <w:spacing w:line="300" w:lineRule="auto"/>
              <w:ind w:left="113" w:right="113"/>
              <w:jc w:val="right"/>
              <w:rPr>
                <w:rFonts w:hAnsi="Century"/>
              </w:rPr>
            </w:pPr>
            <w:bookmarkStart w:id="2" w:name="MatchedText1"/>
            <w:r w:rsidRPr="00EE45B1">
              <w:rPr>
                <w:rFonts w:hAnsi="Century" w:hint="eastAsia"/>
                <w:spacing w:val="735"/>
              </w:rPr>
              <w:t>氏</w:t>
            </w:r>
            <w:r w:rsidRPr="00EE45B1">
              <w:rPr>
                <w:rFonts w:hAnsi="Century" w:hint="eastAsia"/>
                <w:spacing w:val="15"/>
              </w:rPr>
              <w:t>名</w:t>
            </w:r>
            <w:r w:rsidR="00EE45B1" w:rsidRPr="006B10AF">
              <w:rPr>
                <w:rFonts w:hAnsi="Century" w:hint="eastAsia"/>
              </w:rPr>
              <w:t xml:space="preserve">　</w:t>
            </w:r>
            <w:r w:rsidRPr="00EE45B1">
              <w:rPr>
                <w:rFonts w:hAnsi="Century" w:hint="eastAsia"/>
              </w:rPr>
              <w:t xml:space="preserve">　</w:t>
            </w:r>
          </w:p>
          <w:bookmarkEnd w:id="2"/>
          <w:p w:rsidR="00B2459B" w:rsidRPr="00EE45B1" w:rsidRDefault="00B2459B" w:rsidP="00EE45B1">
            <w:pPr>
              <w:spacing w:line="300" w:lineRule="auto"/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　　福井県知事　　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Pr="00EE45B1" w:rsidRDefault="00B2459B">
            <w:pPr>
              <w:ind w:left="113" w:right="113"/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position w:val="58"/>
              </w:rPr>
              <w:t>牧野の</w:t>
            </w:r>
            <w:r w:rsidRPr="00EE45B1">
              <w:rPr>
                <w:rFonts w:hAnsi="Century" w:hint="eastAsia"/>
              </w:rPr>
              <w:t>所在地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　　　　保護牧野用途廃止届</w:t>
            </w:r>
          </w:p>
        </w:tc>
      </w:tr>
      <w:bookmarkEnd w:id="0"/>
      <w:tr w:rsidR="00B2459B" w:rsidRPr="00EE45B1" w:rsidTr="006B10AF">
        <w:trPr>
          <w:cantSplit/>
          <w:trHeight w:val="96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Pr="00EE45B1" w:rsidRDefault="00B2459B">
            <w:pPr>
              <w:ind w:left="113" w:right="113"/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spacing w:val="105"/>
                <w:position w:val="58"/>
              </w:rPr>
              <w:t>指</w:t>
            </w:r>
            <w:r w:rsidRPr="00EE45B1">
              <w:rPr>
                <w:rFonts w:hAnsi="Century" w:hint="eastAsia"/>
                <w:position w:val="58"/>
              </w:rPr>
              <w:t>示</w:t>
            </w:r>
            <w:r w:rsidRPr="00EE45B1">
              <w:rPr>
                <w:rFonts w:hAnsi="Century" w:hint="eastAsia"/>
              </w:rPr>
              <w:t>年月日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288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distribute"/>
            </w:pPr>
            <w:r w:rsidRPr="00EE45B1">
              <w:rPr>
                <w:rFonts w:hint="eastAsia"/>
              </w:rPr>
              <w:t>指示番号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12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Pr="00EE45B1" w:rsidRDefault="00B2459B">
            <w:pPr>
              <w:ind w:left="57" w:right="57"/>
            </w:pPr>
            <w:r w:rsidRPr="00EE45B1">
              <w:rPr>
                <w:rFonts w:hint="eastAsia"/>
                <w:spacing w:val="10"/>
              </w:rPr>
              <w:t>牧野所</w:t>
            </w:r>
            <w:r w:rsidRPr="00EE45B1">
              <w:rPr>
                <w:rFonts w:hint="eastAsia"/>
              </w:rPr>
              <w:t>有</w:t>
            </w:r>
            <w:r w:rsidRPr="00EE45B1">
              <w:rPr>
                <w:rFonts w:hint="eastAsia"/>
                <w:spacing w:val="10"/>
              </w:rPr>
              <w:t>者また</w:t>
            </w:r>
            <w:r w:rsidRPr="00EE45B1">
              <w:rPr>
                <w:rFonts w:hint="eastAsia"/>
              </w:rPr>
              <w:t>は管理者</w:t>
            </w:r>
            <w:r w:rsidRPr="00EE45B1">
              <w:rPr>
                <w:rFonts w:hint="eastAsia"/>
                <w:spacing w:val="25"/>
              </w:rPr>
              <w:t>氏</w:t>
            </w:r>
            <w:r w:rsidRPr="00EE45B1">
              <w:rPr>
                <w:rFonts w:hint="eastAsia"/>
              </w:rPr>
              <w:t>名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6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position w:val="58"/>
              </w:rPr>
              <w:t>指示</w:t>
            </w:r>
            <w:r w:rsidRPr="00EE45B1">
              <w:rPr>
                <w:rFonts w:hAnsi="Century" w:hint="eastAsia"/>
              </w:rPr>
              <w:t>事項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6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distribute"/>
            </w:pPr>
            <w:r w:rsidRPr="00EE45B1">
              <w:rPr>
                <w:rFonts w:hint="eastAsia"/>
              </w:rPr>
              <w:t>年次別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6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spacing w:val="75"/>
              </w:rPr>
              <w:t>放牧</w:t>
            </w:r>
            <w:r w:rsidRPr="00EE45B1">
              <w:rPr>
                <w:rFonts w:hAnsi="Century" w:hint="eastAsia"/>
              </w:rPr>
              <w:t>地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6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r w:rsidRPr="00EE45B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spacing w:val="70"/>
              </w:rPr>
              <w:t>採草</w:t>
            </w:r>
            <w:r w:rsidRPr="00EE45B1">
              <w:rPr>
                <w:rFonts w:hAnsi="Century" w:hint="eastAsia"/>
              </w:rPr>
              <w:t>地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274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pPr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spacing w:val="80"/>
              </w:rPr>
              <w:t>その</w:t>
            </w:r>
            <w:r w:rsidRPr="00EE45B1">
              <w:rPr>
                <w:rFonts w:hAnsi="Century" w:hint="eastAsia"/>
              </w:rPr>
              <w:t>他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245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pPr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>計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RPr="00EE45B1" w:rsidTr="006B10AF">
        <w:trPr>
          <w:cantSplit/>
          <w:trHeight w:val="6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pPr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Pr="00EE45B1" w:rsidRDefault="00B2459B">
            <w:pPr>
              <w:jc w:val="center"/>
              <w:rPr>
                <w:rFonts w:hAnsi="Century"/>
              </w:rPr>
            </w:pPr>
            <w:r w:rsidRPr="00EE45B1">
              <w:rPr>
                <w:rFonts w:hAnsi="Century" w:hint="eastAsia"/>
                <w:position w:val="58"/>
              </w:rPr>
              <w:t>所有</w:t>
            </w:r>
            <w:r w:rsidRPr="00EE45B1">
              <w:rPr>
                <w:rFonts w:hAnsi="Century" w:hint="eastAsia"/>
              </w:rPr>
              <w:t>経費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</w:tr>
      <w:tr w:rsidR="00B2459B" w:rsidTr="006B10AF">
        <w:trPr>
          <w:cantSplit/>
          <w:trHeight w:val="11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Pr="00EE45B1" w:rsidRDefault="00B2459B">
            <w:pPr>
              <w:rPr>
                <w:rFonts w:hAnsi="Centur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B" w:rsidRPr="00EE45B1" w:rsidRDefault="00B2459B">
            <w:pPr>
              <w:rPr>
                <w:rFonts w:hAnsi="Century"/>
              </w:rPr>
            </w:pPr>
            <w:r w:rsidRPr="00EE45B1">
              <w:rPr>
                <w:rFonts w:hAnsi="Century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59B" w:rsidRDefault="00B2459B">
            <w:pPr>
              <w:ind w:left="113" w:right="113"/>
              <w:rPr>
                <w:rFonts w:hAnsi="Century"/>
              </w:rPr>
            </w:pPr>
            <w:r w:rsidRPr="00EE45B1">
              <w:rPr>
                <w:rFonts w:hAnsi="Century" w:hint="eastAsia"/>
                <w:spacing w:val="5"/>
                <w:position w:val="22"/>
              </w:rPr>
              <w:t>用途廃止年</w:t>
            </w:r>
            <w:r w:rsidRPr="00EE45B1">
              <w:rPr>
                <w:rFonts w:hAnsi="Century" w:hint="eastAsia"/>
                <w:spacing w:val="15"/>
                <w:position w:val="22"/>
              </w:rPr>
              <w:t>月</w:t>
            </w:r>
            <w:r w:rsidRPr="00EE45B1">
              <w:rPr>
                <w:rFonts w:hAnsi="Century" w:hint="eastAsia"/>
              </w:rPr>
              <w:t>日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Default="00B2459B">
            <w:pPr>
              <w:rPr>
                <w:rFonts w:hAnsi="Century"/>
              </w:rPr>
            </w:pPr>
          </w:p>
        </w:tc>
      </w:tr>
      <w:tr w:rsidR="00B2459B" w:rsidTr="006B10AF">
        <w:trPr>
          <w:cantSplit/>
          <w:trHeight w:val="214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2459B" w:rsidRDefault="00B2459B">
            <w:pPr>
              <w:rPr>
                <w:rFonts w:hAnsi="Century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9B" w:rsidRDefault="00B2459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B" w:rsidRDefault="00B2459B">
            <w:pPr>
              <w:rPr>
                <w:rFonts w:hAnsi="Century"/>
              </w:rPr>
            </w:pPr>
          </w:p>
        </w:tc>
      </w:tr>
    </w:tbl>
    <w:p w:rsidR="00B2459B" w:rsidRDefault="00B2459B">
      <w:pPr>
        <w:rPr>
          <w:rFonts w:hAnsi="Century"/>
        </w:rPr>
      </w:pPr>
    </w:p>
    <w:sectPr w:rsidR="00B245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93" w:rsidRDefault="000F6993" w:rsidP="008D18C9">
      <w:r>
        <w:separator/>
      </w:r>
    </w:p>
  </w:endnote>
  <w:endnote w:type="continuationSeparator" w:id="0">
    <w:p w:rsidR="000F6993" w:rsidRDefault="000F699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93" w:rsidRDefault="000F6993" w:rsidP="008D18C9">
      <w:r>
        <w:separator/>
      </w:r>
    </w:p>
  </w:footnote>
  <w:footnote w:type="continuationSeparator" w:id="0">
    <w:p w:rsidR="000F6993" w:rsidRDefault="000F699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9B"/>
    <w:rsid w:val="000341DE"/>
    <w:rsid w:val="000B4528"/>
    <w:rsid w:val="000F6993"/>
    <w:rsid w:val="001B3D36"/>
    <w:rsid w:val="00230560"/>
    <w:rsid w:val="005A1128"/>
    <w:rsid w:val="006B10AF"/>
    <w:rsid w:val="00751C36"/>
    <w:rsid w:val="00763FE6"/>
    <w:rsid w:val="008D18C9"/>
    <w:rsid w:val="00B2459B"/>
    <w:rsid w:val="00D47DA7"/>
    <w:rsid w:val="00E34CDE"/>
    <w:rsid w:val="00E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F99A17-FFAE-49D7-8D0B-A8EB6902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e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様式第十一号(第十一条関係)</dc:title>
  <dc:subject/>
  <dc:creator>(株)ぎょうせい</dc:creator>
  <cp:keywords/>
  <dc:description/>
  <cp:lastModifiedBy>USER</cp:lastModifiedBy>
  <cp:revision>4</cp:revision>
  <cp:lastPrinted>2002-04-09T08:28:00Z</cp:lastPrinted>
  <dcterms:created xsi:type="dcterms:W3CDTF">2021-04-29T01:03:00Z</dcterms:created>
  <dcterms:modified xsi:type="dcterms:W3CDTF">2021-05-01T05:12:00Z</dcterms:modified>
</cp:coreProperties>
</file>