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BF" w:rsidRDefault="007614BF">
      <w:bookmarkStart w:id="0" w:name="_GoBack"/>
      <w:bookmarkEnd w:id="0"/>
      <w:r>
        <w:rPr>
          <w:rFonts w:hint="eastAsia"/>
        </w:rPr>
        <w:t>様式第</w:t>
      </w:r>
      <w:r>
        <w:t>6</w:t>
      </w:r>
      <w:r>
        <w:rPr>
          <w:rFonts w:hint="eastAsia"/>
        </w:rPr>
        <w:t>号</w:t>
      </w:r>
      <w:r w:rsidR="004741BC">
        <w:rPr>
          <w:rStyle w:val="inline"/>
        </w:rPr>
        <w:t>(</w:t>
      </w:r>
      <w:r w:rsidR="004741BC">
        <w:rPr>
          <w:rStyle w:val="inline"/>
          <w:rFonts w:hint="eastAsia"/>
        </w:rPr>
        <w:t>第</w:t>
      </w:r>
      <w:r w:rsidR="004741BC">
        <w:rPr>
          <w:rStyle w:val="inline"/>
        </w:rPr>
        <w:t>11</w:t>
      </w:r>
      <w:r w:rsidR="004741BC">
        <w:rPr>
          <w:rStyle w:val="inline"/>
          <w:rFonts w:hint="eastAsia"/>
        </w:rPr>
        <w:t>条関係</w:t>
      </w:r>
      <w:r w:rsidR="004741BC">
        <w:rPr>
          <w:rStyle w:val="inline"/>
        </w:rPr>
        <w:t>)</w:t>
      </w:r>
    </w:p>
    <w:p w:rsidR="007614BF" w:rsidRDefault="007614BF">
      <w:r>
        <w:rPr>
          <w:rFonts w:hint="eastAsia"/>
        </w:rPr>
        <w:t xml:space="preserve">　　</w:t>
      </w:r>
      <w:r w:rsidR="00631793">
        <w:rPr>
          <w:noProof/>
        </w:rPr>
        <w:drawing>
          <wp:inline distT="0" distB="0" distL="0" distR="0">
            <wp:extent cx="800100" cy="791007"/>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00100" cy="791007"/>
                    </a:xfrm>
                    <a:prstGeom prst="rect">
                      <a:avLst/>
                    </a:prstGeom>
                    <a:noFill/>
                    <a:ln>
                      <a:noFill/>
                    </a:ln>
                  </pic:spPr>
                </pic:pic>
              </a:graphicData>
            </a:graphic>
          </wp:inline>
        </w:drawing>
      </w:r>
    </w:p>
    <w:p w:rsidR="007614BF" w:rsidRDefault="007614BF"/>
    <w:p w:rsidR="007614BF" w:rsidRDefault="007614BF">
      <w:pPr>
        <w:jc w:val="center"/>
      </w:pPr>
      <w:r>
        <w:rPr>
          <w:rFonts w:hint="eastAsia"/>
        </w:rPr>
        <w:t>林業・木材産業改善資金県貸付金借用証書</w:t>
      </w:r>
    </w:p>
    <w:p w:rsidR="007614BF" w:rsidRDefault="007614BF"/>
    <w:p w:rsidR="007614BF" w:rsidRDefault="007614BF">
      <w:pPr>
        <w:spacing w:after="120"/>
        <w:ind w:left="105" w:hanging="105"/>
      </w:pPr>
      <w:r>
        <w:t>1</w:t>
      </w:r>
      <w:r>
        <w:rPr>
          <w:rFonts w:hint="eastAsia"/>
        </w:rPr>
        <w:t xml:space="preserve">　</w:t>
      </w:r>
      <w:proofErr w:type="gramStart"/>
      <w:r>
        <w:rPr>
          <w:rFonts w:hint="eastAsia"/>
        </w:rPr>
        <w:t>借受</w:t>
      </w:r>
      <w:proofErr w:type="gramEnd"/>
      <w:r>
        <w:rPr>
          <w:rFonts w:hint="eastAsia"/>
        </w:rPr>
        <w:t>条件等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90"/>
        <w:gridCol w:w="1575"/>
        <w:gridCol w:w="1470"/>
        <w:gridCol w:w="1575"/>
      </w:tblGrid>
      <w:tr w:rsidR="007614BF">
        <w:tblPrEx>
          <w:tblCellMar>
            <w:top w:w="0" w:type="dxa"/>
            <w:bottom w:w="0" w:type="dxa"/>
          </w:tblCellMar>
        </w:tblPrEx>
        <w:trPr>
          <w:cantSplit/>
        </w:trPr>
        <w:tc>
          <w:tcPr>
            <w:tcW w:w="945" w:type="dxa"/>
            <w:vMerge w:val="restart"/>
            <w:tcBorders>
              <w:top w:val="nil"/>
              <w:left w:val="nil"/>
              <w:right w:val="nil"/>
            </w:tcBorders>
          </w:tcPr>
          <w:p w:rsidR="007614BF" w:rsidRDefault="007614BF">
            <w:r>
              <w:rPr>
                <w:rFonts w:hint="eastAsia"/>
              </w:rPr>
              <w:t xml:space="preserve">　</w:t>
            </w:r>
          </w:p>
        </w:tc>
        <w:tc>
          <w:tcPr>
            <w:tcW w:w="3465" w:type="dxa"/>
            <w:gridSpan w:val="2"/>
            <w:vMerge w:val="restart"/>
            <w:tcBorders>
              <w:top w:val="nil"/>
              <w:left w:val="nil"/>
            </w:tcBorders>
          </w:tcPr>
          <w:p w:rsidR="007614BF" w:rsidRDefault="007614BF">
            <w:r>
              <w:rPr>
                <w:rFonts w:hint="eastAsia"/>
              </w:rPr>
              <w:t xml:space="preserve">　</w:t>
            </w:r>
          </w:p>
        </w:tc>
        <w:tc>
          <w:tcPr>
            <w:tcW w:w="1470" w:type="dxa"/>
            <w:vAlign w:val="center"/>
          </w:tcPr>
          <w:p w:rsidR="007614BF" w:rsidRDefault="007614BF">
            <w:pPr>
              <w:jc w:val="distribute"/>
            </w:pPr>
            <w:r>
              <w:rPr>
                <w:rFonts w:hint="eastAsia"/>
              </w:rPr>
              <w:t>貸付決定日</w:t>
            </w:r>
          </w:p>
        </w:tc>
        <w:tc>
          <w:tcPr>
            <w:tcW w:w="1575" w:type="dxa"/>
            <w:vAlign w:val="center"/>
          </w:tcPr>
          <w:p w:rsidR="007614BF" w:rsidRDefault="007614BF">
            <w:r>
              <w:rPr>
                <w:rFonts w:hint="eastAsia"/>
              </w:rPr>
              <w:t xml:space="preserve">　年　月　日</w:t>
            </w:r>
          </w:p>
        </w:tc>
      </w:tr>
      <w:tr w:rsidR="007614BF">
        <w:tblPrEx>
          <w:tblCellMar>
            <w:top w:w="0" w:type="dxa"/>
            <w:bottom w:w="0" w:type="dxa"/>
          </w:tblCellMar>
        </w:tblPrEx>
        <w:trPr>
          <w:cantSplit/>
        </w:trPr>
        <w:tc>
          <w:tcPr>
            <w:tcW w:w="945" w:type="dxa"/>
            <w:vMerge/>
            <w:tcBorders>
              <w:left w:val="nil"/>
              <w:right w:val="nil"/>
            </w:tcBorders>
          </w:tcPr>
          <w:p w:rsidR="007614BF" w:rsidRDefault="007614BF"/>
        </w:tc>
        <w:tc>
          <w:tcPr>
            <w:tcW w:w="3465" w:type="dxa"/>
            <w:gridSpan w:val="2"/>
            <w:vMerge/>
            <w:tcBorders>
              <w:left w:val="nil"/>
            </w:tcBorders>
          </w:tcPr>
          <w:p w:rsidR="007614BF" w:rsidRDefault="007614BF"/>
        </w:tc>
        <w:tc>
          <w:tcPr>
            <w:tcW w:w="1470" w:type="dxa"/>
            <w:vAlign w:val="center"/>
          </w:tcPr>
          <w:p w:rsidR="007614BF" w:rsidRDefault="007614BF">
            <w:pPr>
              <w:jc w:val="distribute"/>
            </w:pPr>
            <w:r>
              <w:rPr>
                <w:rFonts w:hint="eastAsia"/>
              </w:rPr>
              <w:t>貸付決定番号</w:t>
            </w:r>
          </w:p>
        </w:tc>
        <w:tc>
          <w:tcPr>
            <w:tcW w:w="1575" w:type="dxa"/>
          </w:tcPr>
          <w:p w:rsidR="007614BF" w:rsidRDefault="007614BF">
            <w:r>
              <w:rPr>
                <w:rFonts w:hint="eastAsia"/>
              </w:rPr>
              <w:t xml:space="preserve">　</w:t>
            </w:r>
          </w:p>
        </w:tc>
      </w:tr>
      <w:tr w:rsidR="007614BF">
        <w:tblPrEx>
          <w:tblCellMar>
            <w:top w:w="0" w:type="dxa"/>
            <w:bottom w:w="0" w:type="dxa"/>
          </w:tblCellMar>
        </w:tblPrEx>
        <w:trPr>
          <w:cantSplit/>
        </w:trPr>
        <w:tc>
          <w:tcPr>
            <w:tcW w:w="945" w:type="dxa"/>
            <w:vMerge/>
            <w:tcBorders>
              <w:left w:val="nil"/>
              <w:right w:val="nil"/>
            </w:tcBorders>
          </w:tcPr>
          <w:p w:rsidR="007614BF" w:rsidRDefault="007614BF"/>
        </w:tc>
        <w:tc>
          <w:tcPr>
            <w:tcW w:w="1890" w:type="dxa"/>
            <w:vAlign w:val="center"/>
          </w:tcPr>
          <w:p w:rsidR="007614BF" w:rsidRDefault="007614BF">
            <w:pPr>
              <w:jc w:val="center"/>
            </w:pPr>
            <w:proofErr w:type="gramStart"/>
            <w:r>
              <w:rPr>
                <w:rFonts w:hint="eastAsia"/>
              </w:rPr>
              <w:t>借受</w:t>
            </w:r>
            <w:proofErr w:type="gramEnd"/>
            <w:r>
              <w:rPr>
                <w:rFonts w:hint="eastAsia"/>
              </w:rPr>
              <w:t>金額</w:t>
            </w:r>
          </w:p>
        </w:tc>
        <w:tc>
          <w:tcPr>
            <w:tcW w:w="4620" w:type="dxa"/>
            <w:gridSpan w:val="3"/>
            <w:vAlign w:val="center"/>
          </w:tcPr>
          <w:p w:rsidR="007614BF" w:rsidRDefault="007614BF">
            <w:pPr>
              <w:jc w:val="right"/>
            </w:pPr>
            <w:r>
              <w:rPr>
                <w:rFonts w:hint="eastAsia"/>
              </w:rPr>
              <w:t xml:space="preserve">円　　　　　　　　</w:t>
            </w:r>
          </w:p>
        </w:tc>
      </w:tr>
      <w:tr w:rsidR="007614BF">
        <w:tblPrEx>
          <w:tblCellMar>
            <w:top w:w="0" w:type="dxa"/>
            <w:bottom w:w="0" w:type="dxa"/>
          </w:tblCellMar>
        </w:tblPrEx>
        <w:trPr>
          <w:cantSplit/>
        </w:trPr>
        <w:tc>
          <w:tcPr>
            <w:tcW w:w="945" w:type="dxa"/>
            <w:vMerge/>
            <w:tcBorders>
              <w:left w:val="nil"/>
              <w:right w:val="nil"/>
            </w:tcBorders>
          </w:tcPr>
          <w:p w:rsidR="007614BF" w:rsidRDefault="007614BF"/>
        </w:tc>
        <w:tc>
          <w:tcPr>
            <w:tcW w:w="1890" w:type="dxa"/>
            <w:vAlign w:val="center"/>
          </w:tcPr>
          <w:p w:rsidR="007614BF" w:rsidRDefault="007614BF">
            <w:pPr>
              <w:jc w:val="center"/>
            </w:pPr>
            <w:r>
              <w:rPr>
                <w:rFonts w:hint="eastAsia"/>
              </w:rPr>
              <w:t>改善措置の内容</w:t>
            </w:r>
          </w:p>
        </w:tc>
        <w:tc>
          <w:tcPr>
            <w:tcW w:w="4620" w:type="dxa"/>
            <w:gridSpan w:val="3"/>
          </w:tcPr>
          <w:p w:rsidR="007614BF" w:rsidRDefault="007614BF">
            <w:r>
              <w:rPr>
                <w:rFonts w:hint="eastAsia"/>
              </w:rPr>
              <w:t xml:space="preserve">　</w:t>
            </w:r>
          </w:p>
        </w:tc>
      </w:tr>
      <w:tr w:rsidR="007614BF">
        <w:tblPrEx>
          <w:tblCellMar>
            <w:top w:w="0" w:type="dxa"/>
            <w:bottom w:w="0" w:type="dxa"/>
          </w:tblCellMar>
        </w:tblPrEx>
        <w:trPr>
          <w:cantSplit/>
        </w:trPr>
        <w:tc>
          <w:tcPr>
            <w:tcW w:w="945" w:type="dxa"/>
            <w:vMerge/>
            <w:tcBorders>
              <w:left w:val="nil"/>
              <w:right w:val="nil"/>
            </w:tcBorders>
          </w:tcPr>
          <w:p w:rsidR="007614BF" w:rsidRDefault="007614BF"/>
        </w:tc>
        <w:tc>
          <w:tcPr>
            <w:tcW w:w="1890" w:type="dxa"/>
            <w:vAlign w:val="center"/>
          </w:tcPr>
          <w:p w:rsidR="007614BF" w:rsidRDefault="007614BF">
            <w:pPr>
              <w:jc w:val="center"/>
            </w:pPr>
            <w:r>
              <w:rPr>
                <w:rFonts w:hint="eastAsia"/>
              </w:rPr>
              <w:t>貸付金の使途</w:t>
            </w:r>
          </w:p>
        </w:tc>
        <w:tc>
          <w:tcPr>
            <w:tcW w:w="4620" w:type="dxa"/>
            <w:gridSpan w:val="3"/>
          </w:tcPr>
          <w:p w:rsidR="007614BF" w:rsidRDefault="007614BF">
            <w:r>
              <w:rPr>
                <w:rFonts w:hint="eastAsia"/>
              </w:rPr>
              <w:t xml:space="preserve">　</w:t>
            </w:r>
          </w:p>
        </w:tc>
      </w:tr>
      <w:tr w:rsidR="007614BF">
        <w:tblPrEx>
          <w:tblCellMar>
            <w:top w:w="0" w:type="dxa"/>
            <w:bottom w:w="0" w:type="dxa"/>
          </w:tblCellMar>
        </w:tblPrEx>
        <w:trPr>
          <w:cantSplit/>
        </w:trPr>
        <w:tc>
          <w:tcPr>
            <w:tcW w:w="945" w:type="dxa"/>
            <w:vMerge/>
            <w:tcBorders>
              <w:left w:val="nil"/>
              <w:right w:val="nil"/>
            </w:tcBorders>
          </w:tcPr>
          <w:p w:rsidR="007614BF" w:rsidRDefault="007614BF"/>
        </w:tc>
        <w:tc>
          <w:tcPr>
            <w:tcW w:w="1890" w:type="dxa"/>
            <w:vAlign w:val="center"/>
          </w:tcPr>
          <w:p w:rsidR="007614BF" w:rsidRDefault="007614BF">
            <w:pPr>
              <w:jc w:val="center"/>
            </w:pPr>
            <w:r>
              <w:rPr>
                <w:rFonts w:hint="eastAsia"/>
              </w:rPr>
              <w:t>償還期限</w:t>
            </w:r>
          </w:p>
        </w:tc>
        <w:tc>
          <w:tcPr>
            <w:tcW w:w="4620" w:type="dxa"/>
            <w:gridSpan w:val="3"/>
          </w:tcPr>
          <w:p w:rsidR="007614BF" w:rsidRDefault="007614BF">
            <w:r>
              <w:rPr>
                <w:rFonts w:hint="eastAsia"/>
              </w:rPr>
              <w:t xml:space="preserve">　</w:t>
            </w:r>
          </w:p>
        </w:tc>
      </w:tr>
      <w:tr w:rsidR="007614BF">
        <w:tblPrEx>
          <w:tblCellMar>
            <w:top w:w="0" w:type="dxa"/>
            <w:bottom w:w="0" w:type="dxa"/>
          </w:tblCellMar>
        </w:tblPrEx>
        <w:trPr>
          <w:cantSplit/>
        </w:trPr>
        <w:tc>
          <w:tcPr>
            <w:tcW w:w="945" w:type="dxa"/>
            <w:vMerge/>
            <w:tcBorders>
              <w:left w:val="nil"/>
              <w:bottom w:val="nil"/>
              <w:right w:val="nil"/>
            </w:tcBorders>
          </w:tcPr>
          <w:p w:rsidR="007614BF" w:rsidRDefault="007614BF"/>
        </w:tc>
        <w:tc>
          <w:tcPr>
            <w:tcW w:w="1890" w:type="dxa"/>
            <w:vAlign w:val="center"/>
          </w:tcPr>
          <w:p w:rsidR="007614BF" w:rsidRDefault="007614BF">
            <w:pPr>
              <w:jc w:val="center"/>
            </w:pPr>
            <w:r>
              <w:rPr>
                <w:rFonts w:hint="eastAsia"/>
              </w:rPr>
              <w:t>備考</w:t>
            </w:r>
          </w:p>
        </w:tc>
        <w:tc>
          <w:tcPr>
            <w:tcW w:w="4620" w:type="dxa"/>
            <w:gridSpan w:val="3"/>
          </w:tcPr>
          <w:p w:rsidR="007614BF" w:rsidRDefault="007614BF">
            <w:r>
              <w:rPr>
                <w:rFonts w:hint="eastAsia"/>
              </w:rPr>
              <w:t xml:space="preserve">　</w:t>
            </w:r>
          </w:p>
        </w:tc>
      </w:tr>
    </w:tbl>
    <w:p w:rsidR="007614BF" w:rsidRDefault="007614BF"/>
    <w:p w:rsidR="007614BF" w:rsidRDefault="007614BF">
      <w:pPr>
        <w:spacing w:after="120"/>
        <w:ind w:left="105" w:hanging="105"/>
      </w:pPr>
      <w:r>
        <w:t>2</w:t>
      </w:r>
      <w:r>
        <w:rPr>
          <w:rFonts w:hint="eastAsia"/>
        </w:rPr>
        <w:t xml:space="preserve">　償還計画　　※当該林業従事者等</w:t>
      </w:r>
      <w:r w:rsidR="004741BC">
        <w:rPr>
          <w:rFonts w:hint="eastAsia"/>
        </w:rPr>
        <w:t>、認定中小企業者または促進事業者</w:t>
      </w:r>
      <w:r>
        <w:rPr>
          <w:rFonts w:hint="eastAsia"/>
        </w:rPr>
        <w:t>に係る貸付決定通知書に添付された償還計画の写し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55"/>
        <w:gridCol w:w="1470"/>
        <w:gridCol w:w="1470"/>
        <w:gridCol w:w="1470"/>
        <w:gridCol w:w="1470"/>
      </w:tblGrid>
      <w:tr w:rsidR="007614BF">
        <w:tblPrEx>
          <w:tblCellMar>
            <w:top w:w="0" w:type="dxa"/>
            <w:bottom w:w="0" w:type="dxa"/>
          </w:tblCellMar>
        </w:tblPrEx>
        <w:trPr>
          <w:cantSplit/>
          <w:trHeight w:val="279"/>
        </w:trPr>
        <w:tc>
          <w:tcPr>
            <w:tcW w:w="420" w:type="dxa"/>
            <w:vMerge w:val="restart"/>
            <w:tcBorders>
              <w:top w:val="nil"/>
              <w:left w:val="nil"/>
            </w:tcBorders>
          </w:tcPr>
          <w:p w:rsidR="007614BF" w:rsidRDefault="007614BF">
            <w:r>
              <w:rPr>
                <w:rFonts w:hint="eastAsia"/>
              </w:rPr>
              <w:t xml:space="preserve">　</w:t>
            </w:r>
          </w:p>
        </w:tc>
        <w:tc>
          <w:tcPr>
            <w:tcW w:w="1155" w:type="dxa"/>
            <w:vAlign w:val="center"/>
          </w:tcPr>
          <w:p w:rsidR="007614BF" w:rsidRDefault="007614BF">
            <w:pPr>
              <w:jc w:val="center"/>
            </w:pPr>
            <w:r>
              <w:rPr>
                <w:rFonts w:hint="eastAsia"/>
              </w:rPr>
              <w:t>回数</w:t>
            </w:r>
          </w:p>
        </w:tc>
        <w:tc>
          <w:tcPr>
            <w:tcW w:w="1470" w:type="dxa"/>
            <w:vAlign w:val="center"/>
          </w:tcPr>
          <w:p w:rsidR="007614BF" w:rsidRDefault="007614BF">
            <w:pPr>
              <w:jc w:val="center"/>
            </w:pPr>
            <w:r>
              <w:rPr>
                <w:rFonts w:hint="eastAsia"/>
              </w:rPr>
              <w:t>償還期日</w:t>
            </w:r>
          </w:p>
        </w:tc>
        <w:tc>
          <w:tcPr>
            <w:tcW w:w="1470" w:type="dxa"/>
            <w:vAlign w:val="center"/>
          </w:tcPr>
          <w:p w:rsidR="007614BF" w:rsidRDefault="007614BF">
            <w:pPr>
              <w:jc w:val="center"/>
            </w:pPr>
            <w:r>
              <w:rPr>
                <w:rFonts w:hint="eastAsia"/>
              </w:rPr>
              <w:t>償還金額</w:t>
            </w:r>
          </w:p>
        </w:tc>
        <w:tc>
          <w:tcPr>
            <w:tcW w:w="1470" w:type="dxa"/>
            <w:vAlign w:val="center"/>
          </w:tcPr>
          <w:p w:rsidR="007614BF" w:rsidRDefault="007614BF">
            <w:pPr>
              <w:jc w:val="center"/>
            </w:pPr>
            <w:r>
              <w:rPr>
                <w:rFonts w:hint="eastAsia"/>
              </w:rPr>
              <w:t>残高</w:t>
            </w:r>
          </w:p>
        </w:tc>
        <w:tc>
          <w:tcPr>
            <w:tcW w:w="1470" w:type="dxa"/>
            <w:vAlign w:val="center"/>
          </w:tcPr>
          <w:p w:rsidR="007614BF" w:rsidRDefault="007614BF">
            <w:pPr>
              <w:jc w:val="center"/>
            </w:pPr>
            <w:r>
              <w:rPr>
                <w:rFonts w:hint="eastAsia"/>
              </w:rPr>
              <w:t>備考</w:t>
            </w:r>
          </w:p>
        </w:tc>
      </w:tr>
      <w:tr w:rsidR="007614BF">
        <w:tblPrEx>
          <w:tblCellMar>
            <w:top w:w="0" w:type="dxa"/>
            <w:bottom w:w="0" w:type="dxa"/>
          </w:tblCellMar>
        </w:tblPrEx>
        <w:trPr>
          <w:cantSplit/>
          <w:trHeight w:val="279"/>
        </w:trPr>
        <w:tc>
          <w:tcPr>
            <w:tcW w:w="420" w:type="dxa"/>
            <w:vMerge/>
            <w:tcBorders>
              <w:left w:val="nil"/>
            </w:tcBorders>
          </w:tcPr>
          <w:p w:rsidR="007614BF" w:rsidRDefault="007614BF"/>
        </w:tc>
        <w:tc>
          <w:tcPr>
            <w:tcW w:w="1155" w:type="dxa"/>
            <w:vAlign w:val="center"/>
          </w:tcPr>
          <w:p w:rsidR="007614BF" w:rsidRDefault="007614BF">
            <w:pPr>
              <w:jc w:val="center"/>
            </w:pPr>
            <w:r>
              <w:t>1</w:t>
            </w:r>
          </w:p>
        </w:tc>
        <w:tc>
          <w:tcPr>
            <w:tcW w:w="1470" w:type="dxa"/>
            <w:vAlign w:val="center"/>
          </w:tcPr>
          <w:p w:rsidR="007614BF" w:rsidRDefault="007614BF">
            <w:pPr>
              <w:jc w:val="right"/>
            </w:pPr>
            <w:r>
              <w:rPr>
                <w:rFonts w:hint="eastAsia"/>
              </w:rPr>
              <w:t>年　月　日</w:t>
            </w:r>
          </w:p>
        </w:tc>
        <w:tc>
          <w:tcPr>
            <w:tcW w:w="1470" w:type="dxa"/>
            <w:vAlign w:val="center"/>
          </w:tcPr>
          <w:p w:rsidR="007614BF" w:rsidRDefault="007614BF">
            <w:pPr>
              <w:jc w:val="right"/>
            </w:pPr>
            <w:r>
              <w:rPr>
                <w:rFonts w:hint="eastAsia"/>
              </w:rPr>
              <w:t xml:space="preserve">円　</w:t>
            </w:r>
          </w:p>
        </w:tc>
        <w:tc>
          <w:tcPr>
            <w:tcW w:w="1470" w:type="dxa"/>
            <w:vAlign w:val="center"/>
          </w:tcPr>
          <w:p w:rsidR="007614BF" w:rsidRDefault="007614BF">
            <w:pPr>
              <w:jc w:val="right"/>
            </w:pPr>
            <w:r>
              <w:rPr>
                <w:rFonts w:hint="eastAsia"/>
              </w:rPr>
              <w:t xml:space="preserve">円　</w:t>
            </w:r>
          </w:p>
        </w:tc>
        <w:tc>
          <w:tcPr>
            <w:tcW w:w="1470" w:type="dxa"/>
          </w:tcPr>
          <w:p w:rsidR="007614BF" w:rsidRDefault="007614BF">
            <w:r>
              <w:rPr>
                <w:rFonts w:hint="eastAsia"/>
              </w:rPr>
              <w:t xml:space="preserve">　</w:t>
            </w:r>
          </w:p>
        </w:tc>
      </w:tr>
      <w:tr w:rsidR="007614BF">
        <w:tblPrEx>
          <w:tblCellMar>
            <w:top w:w="0" w:type="dxa"/>
            <w:bottom w:w="0" w:type="dxa"/>
          </w:tblCellMar>
        </w:tblPrEx>
        <w:trPr>
          <w:cantSplit/>
          <w:trHeight w:val="279"/>
        </w:trPr>
        <w:tc>
          <w:tcPr>
            <w:tcW w:w="420" w:type="dxa"/>
            <w:vMerge/>
            <w:tcBorders>
              <w:left w:val="nil"/>
            </w:tcBorders>
          </w:tcPr>
          <w:p w:rsidR="007614BF" w:rsidRDefault="007614BF"/>
        </w:tc>
        <w:tc>
          <w:tcPr>
            <w:tcW w:w="1155" w:type="dxa"/>
            <w:vAlign w:val="center"/>
          </w:tcPr>
          <w:p w:rsidR="007614BF" w:rsidRDefault="007614BF">
            <w:pPr>
              <w:jc w:val="center"/>
            </w:pPr>
            <w:r>
              <w:t>2</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r>
      <w:tr w:rsidR="007614BF">
        <w:tblPrEx>
          <w:tblCellMar>
            <w:top w:w="0" w:type="dxa"/>
            <w:bottom w:w="0" w:type="dxa"/>
          </w:tblCellMar>
        </w:tblPrEx>
        <w:trPr>
          <w:cantSplit/>
          <w:trHeight w:val="279"/>
        </w:trPr>
        <w:tc>
          <w:tcPr>
            <w:tcW w:w="420" w:type="dxa"/>
            <w:vMerge/>
            <w:tcBorders>
              <w:left w:val="nil"/>
            </w:tcBorders>
          </w:tcPr>
          <w:p w:rsidR="007614BF" w:rsidRDefault="007614BF"/>
        </w:tc>
        <w:tc>
          <w:tcPr>
            <w:tcW w:w="1155" w:type="dxa"/>
            <w:vAlign w:val="center"/>
          </w:tcPr>
          <w:p w:rsidR="007614BF" w:rsidRDefault="007614BF">
            <w:pPr>
              <w:jc w:val="center"/>
            </w:pPr>
            <w:r>
              <w:t>3</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r>
      <w:tr w:rsidR="007614BF">
        <w:tblPrEx>
          <w:tblCellMar>
            <w:top w:w="0" w:type="dxa"/>
            <w:bottom w:w="0" w:type="dxa"/>
          </w:tblCellMar>
        </w:tblPrEx>
        <w:trPr>
          <w:cantSplit/>
          <w:trHeight w:hRule="exact" w:val="220"/>
        </w:trPr>
        <w:tc>
          <w:tcPr>
            <w:tcW w:w="420" w:type="dxa"/>
            <w:vMerge/>
            <w:tcBorders>
              <w:left w:val="nil"/>
              <w:bottom w:val="nil"/>
            </w:tcBorders>
          </w:tcPr>
          <w:p w:rsidR="007614BF" w:rsidRDefault="007614BF"/>
        </w:tc>
        <w:tc>
          <w:tcPr>
            <w:tcW w:w="1155" w:type="dxa"/>
            <w:tcBorders>
              <w:bottom w:val="wave" w:sz="6" w:space="0" w:color="auto"/>
            </w:tcBorders>
          </w:tcPr>
          <w:p w:rsidR="007614BF" w:rsidRDefault="007614BF">
            <w:r>
              <w:rPr>
                <w:rFonts w:hint="eastAsia"/>
              </w:rPr>
              <w:t xml:space="preserve">　</w:t>
            </w:r>
          </w:p>
        </w:tc>
        <w:tc>
          <w:tcPr>
            <w:tcW w:w="1470" w:type="dxa"/>
            <w:tcBorders>
              <w:bottom w:val="wave" w:sz="6" w:space="0" w:color="auto"/>
            </w:tcBorders>
          </w:tcPr>
          <w:p w:rsidR="007614BF" w:rsidRDefault="007614BF">
            <w:r>
              <w:rPr>
                <w:rFonts w:hint="eastAsia"/>
              </w:rPr>
              <w:t xml:space="preserve">　</w:t>
            </w:r>
          </w:p>
        </w:tc>
        <w:tc>
          <w:tcPr>
            <w:tcW w:w="1470" w:type="dxa"/>
            <w:tcBorders>
              <w:bottom w:val="wave" w:sz="6" w:space="0" w:color="auto"/>
            </w:tcBorders>
          </w:tcPr>
          <w:p w:rsidR="007614BF" w:rsidRDefault="007614BF">
            <w:r>
              <w:rPr>
                <w:rFonts w:hint="eastAsia"/>
              </w:rPr>
              <w:t xml:space="preserve">　</w:t>
            </w:r>
          </w:p>
        </w:tc>
        <w:tc>
          <w:tcPr>
            <w:tcW w:w="1470" w:type="dxa"/>
            <w:tcBorders>
              <w:bottom w:val="wave" w:sz="6" w:space="0" w:color="auto"/>
            </w:tcBorders>
          </w:tcPr>
          <w:p w:rsidR="007614BF" w:rsidRDefault="007614BF">
            <w:r>
              <w:rPr>
                <w:rFonts w:hint="eastAsia"/>
              </w:rPr>
              <w:t xml:space="preserve">　</w:t>
            </w:r>
          </w:p>
        </w:tc>
        <w:tc>
          <w:tcPr>
            <w:tcW w:w="1470" w:type="dxa"/>
            <w:tcBorders>
              <w:bottom w:val="wave" w:sz="6" w:space="0" w:color="auto"/>
            </w:tcBorders>
          </w:tcPr>
          <w:p w:rsidR="007614BF" w:rsidRDefault="007614BF">
            <w:r>
              <w:rPr>
                <w:rFonts w:hint="eastAsia"/>
              </w:rPr>
              <w:t xml:space="preserve">　</w:t>
            </w:r>
          </w:p>
        </w:tc>
      </w:tr>
      <w:tr w:rsidR="007614BF">
        <w:tblPrEx>
          <w:tblCellMar>
            <w:top w:w="0" w:type="dxa"/>
            <w:bottom w:w="0" w:type="dxa"/>
          </w:tblCellMar>
        </w:tblPrEx>
        <w:trPr>
          <w:cantSplit/>
          <w:trHeight w:hRule="exact" w:val="60"/>
        </w:trPr>
        <w:tc>
          <w:tcPr>
            <w:tcW w:w="420" w:type="dxa"/>
            <w:vMerge/>
            <w:tcBorders>
              <w:left w:val="nil"/>
              <w:bottom w:val="nil"/>
              <w:right w:val="nil"/>
            </w:tcBorders>
          </w:tcPr>
          <w:p w:rsidR="007614BF" w:rsidRDefault="007614BF"/>
        </w:tc>
        <w:tc>
          <w:tcPr>
            <w:tcW w:w="7035" w:type="dxa"/>
            <w:gridSpan w:val="5"/>
            <w:tcBorders>
              <w:top w:val="wave" w:sz="6" w:space="0" w:color="auto"/>
              <w:left w:val="nil"/>
              <w:bottom w:val="wave" w:sz="6" w:space="0" w:color="auto"/>
              <w:right w:val="nil"/>
            </w:tcBorders>
          </w:tcPr>
          <w:p w:rsidR="007614BF" w:rsidRDefault="007614BF">
            <w:r>
              <w:rPr>
                <w:rFonts w:hint="eastAsia"/>
              </w:rPr>
              <w:t xml:space="preserve">　</w:t>
            </w:r>
          </w:p>
        </w:tc>
      </w:tr>
      <w:tr w:rsidR="007614BF">
        <w:tblPrEx>
          <w:tblCellMar>
            <w:top w:w="0" w:type="dxa"/>
            <w:bottom w:w="0" w:type="dxa"/>
          </w:tblCellMar>
        </w:tblPrEx>
        <w:trPr>
          <w:cantSplit/>
          <w:trHeight w:hRule="exact" w:val="180"/>
        </w:trPr>
        <w:tc>
          <w:tcPr>
            <w:tcW w:w="420" w:type="dxa"/>
            <w:vMerge/>
            <w:tcBorders>
              <w:top w:val="nil"/>
              <w:left w:val="nil"/>
              <w:bottom w:val="nil"/>
            </w:tcBorders>
          </w:tcPr>
          <w:p w:rsidR="007614BF" w:rsidRDefault="007614BF"/>
        </w:tc>
        <w:tc>
          <w:tcPr>
            <w:tcW w:w="1155" w:type="dxa"/>
            <w:tcBorders>
              <w:top w:val="wave" w:sz="6" w:space="0" w:color="auto"/>
            </w:tcBorders>
          </w:tcPr>
          <w:p w:rsidR="007614BF" w:rsidRDefault="007614BF">
            <w:r>
              <w:rPr>
                <w:rFonts w:hint="eastAsia"/>
              </w:rPr>
              <w:t xml:space="preserve">　</w:t>
            </w:r>
          </w:p>
        </w:tc>
        <w:tc>
          <w:tcPr>
            <w:tcW w:w="1470" w:type="dxa"/>
            <w:tcBorders>
              <w:top w:val="wave" w:sz="6" w:space="0" w:color="auto"/>
            </w:tcBorders>
          </w:tcPr>
          <w:p w:rsidR="007614BF" w:rsidRDefault="007614BF">
            <w:r>
              <w:rPr>
                <w:rFonts w:hint="eastAsia"/>
              </w:rPr>
              <w:t xml:space="preserve">　</w:t>
            </w:r>
          </w:p>
        </w:tc>
        <w:tc>
          <w:tcPr>
            <w:tcW w:w="1470" w:type="dxa"/>
            <w:tcBorders>
              <w:top w:val="wave" w:sz="6" w:space="0" w:color="auto"/>
            </w:tcBorders>
          </w:tcPr>
          <w:p w:rsidR="007614BF" w:rsidRDefault="007614BF">
            <w:r>
              <w:rPr>
                <w:rFonts w:hint="eastAsia"/>
              </w:rPr>
              <w:t xml:space="preserve">　</w:t>
            </w:r>
          </w:p>
        </w:tc>
        <w:tc>
          <w:tcPr>
            <w:tcW w:w="1470" w:type="dxa"/>
            <w:tcBorders>
              <w:top w:val="wave" w:sz="6" w:space="0" w:color="auto"/>
            </w:tcBorders>
          </w:tcPr>
          <w:p w:rsidR="007614BF" w:rsidRDefault="007614BF">
            <w:r>
              <w:rPr>
                <w:rFonts w:hint="eastAsia"/>
              </w:rPr>
              <w:t xml:space="preserve">　</w:t>
            </w:r>
          </w:p>
        </w:tc>
        <w:tc>
          <w:tcPr>
            <w:tcW w:w="1470" w:type="dxa"/>
            <w:tcBorders>
              <w:top w:val="wave" w:sz="6" w:space="0" w:color="auto"/>
            </w:tcBorders>
          </w:tcPr>
          <w:p w:rsidR="007614BF" w:rsidRDefault="007614BF">
            <w:r>
              <w:rPr>
                <w:rFonts w:hint="eastAsia"/>
              </w:rPr>
              <w:t xml:space="preserve">　</w:t>
            </w:r>
          </w:p>
        </w:tc>
      </w:tr>
      <w:tr w:rsidR="007614BF">
        <w:tblPrEx>
          <w:tblCellMar>
            <w:top w:w="0" w:type="dxa"/>
            <w:bottom w:w="0" w:type="dxa"/>
          </w:tblCellMar>
        </w:tblPrEx>
        <w:trPr>
          <w:cantSplit/>
          <w:trHeight w:val="279"/>
        </w:trPr>
        <w:tc>
          <w:tcPr>
            <w:tcW w:w="420" w:type="dxa"/>
            <w:vMerge/>
            <w:tcBorders>
              <w:top w:val="nil"/>
              <w:left w:val="nil"/>
              <w:bottom w:val="nil"/>
            </w:tcBorders>
          </w:tcPr>
          <w:p w:rsidR="007614BF" w:rsidRDefault="007614BF"/>
        </w:tc>
        <w:tc>
          <w:tcPr>
            <w:tcW w:w="1155" w:type="dxa"/>
            <w:vAlign w:val="center"/>
          </w:tcPr>
          <w:p w:rsidR="007614BF" w:rsidRDefault="007614BF">
            <w:pPr>
              <w:jc w:val="center"/>
            </w:pPr>
            <w:r>
              <w:t>10</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c>
          <w:tcPr>
            <w:tcW w:w="1470" w:type="dxa"/>
          </w:tcPr>
          <w:p w:rsidR="007614BF" w:rsidRDefault="007614BF">
            <w:r>
              <w:rPr>
                <w:rFonts w:hint="eastAsia"/>
              </w:rPr>
              <w:t xml:space="preserve">　</w:t>
            </w:r>
          </w:p>
        </w:tc>
      </w:tr>
    </w:tbl>
    <w:p w:rsidR="007614BF" w:rsidRDefault="007614BF">
      <w:pPr>
        <w:spacing w:before="120"/>
      </w:pPr>
      <w:r>
        <w:t>(</w:t>
      </w:r>
      <w:r>
        <w:rPr>
          <w:rFonts w:hint="eastAsia"/>
        </w:rPr>
        <w:t>注</w:t>
      </w:r>
      <w:r>
        <w:t>)</w:t>
      </w:r>
      <w:r>
        <w:rPr>
          <w:rFonts w:hint="eastAsia"/>
        </w:rPr>
        <w:t xml:space="preserve">　必要に応じて、適宜欄を加除して使用すること。</w:t>
      </w:r>
    </w:p>
    <w:p w:rsidR="007614BF" w:rsidRDefault="007614BF">
      <w:r>
        <w:rPr>
          <w:rFonts w:hint="eastAsia"/>
        </w:rPr>
        <w:t xml:space="preserve">　上記のとおり林業・木材産業改善資金を正に借用しました。ついては、福井県林業・木材産業改善資金貸付規則および裏面の特約条項を承知の上、相違なく償還します。</w:t>
      </w:r>
    </w:p>
    <w:p w:rsidR="007614BF" w:rsidRDefault="007614BF"/>
    <w:p w:rsidR="007614BF" w:rsidRDefault="007614BF"/>
    <w:p w:rsidR="007614BF" w:rsidRDefault="007614BF">
      <w:pPr>
        <w:jc w:val="right"/>
      </w:pPr>
      <w:r>
        <w:rPr>
          <w:rFonts w:hint="eastAsia"/>
        </w:rPr>
        <w:t>年　　月　　日</w:t>
      </w:r>
    </w:p>
    <w:p w:rsidR="007614BF" w:rsidRDefault="007614BF"/>
    <w:p w:rsidR="007614BF" w:rsidRDefault="007614BF">
      <w:r>
        <w:rPr>
          <w:rFonts w:hint="eastAsia"/>
        </w:rPr>
        <w:t xml:space="preserve">　　　福井県知事　　　　様</w:t>
      </w:r>
    </w:p>
    <w:p w:rsidR="007614BF" w:rsidRDefault="007614BF"/>
    <w:p w:rsidR="007614BF" w:rsidRDefault="007614BF">
      <w:pPr>
        <w:jc w:val="right"/>
      </w:pPr>
      <w:r>
        <w:rPr>
          <w:rFonts w:hint="eastAsia"/>
        </w:rPr>
        <w:t xml:space="preserve">融資機関　</w:t>
      </w:r>
      <w:r>
        <w:rPr>
          <w:rFonts w:hint="eastAsia"/>
          <w:spacing w:val="30"/>
        </w:rPr>
        <w:t>所在</w:t>
      </w:r>
      <w:r>
        <w:rPr>
          <w:rFonts w:hint="eastAsia"/>
        </w:rPr>
        <w:t xml:space="preserve">地　　　　　　　　　　　　　　</w:t>
      </w:r>
    </w:p>
    <w:p w:rsidR="007614BF" w:rsidRDefault="007614BF">
      <w:pPr>
        <w:jc w:val="right"/>
      </w:pPr>
      <w:r>
        <w:rPr>
          <w:rFonts w:hint="eastAsia"/>
          <w:spacing w:val="210"/>
        </w:rPr>
        <w:t>名</w:t>
      </w:r>
      <w:r>
        <w:rPr>
          <w:rFonts w:hint="eastAsia"/>
        </w:rPr>
        <w:t xml:space="preserve">称　　　　　　　　　　　　　　</w:t>
      </w:r>
    </w:p>
    <w:p w:rsidR="007614BF" w:rsidRDefault="007614BF">
      <w:pPr>
        <w:jc w:val="right"/>
      </w:pPr>
      <w:r>
        <w:rPr>
          <w:rFonts w:hint="eastAsia"/>
        </w:rPr>
        <w:t xml:space="preserve">代表者名　　　　　　　　　　印　　　</w:t>
      </w:r>
    </w:p>
    <w:p w:rsidR="007614BF" w:rsidRDefault="007614BF">
      <w:pPr>
        <w:sectPr w:rsidR="007614BF">
          <w:pgSz w:w="11906" w:h="16838" w:code="9"/>
          <w:pgMar w:top="1701" w:right="1701" w:bottom="1701" w:left="1701" w:header="284" w:footer="284" w:gutter="0"/>
          <w:cols w:space="425"/>
          <w:docGrid w:type="linesAndChars" w:linePitch="335"/>
        </w:sectPr>
      </w:pPr>
    </w:p>
    <w:p w:rsidR="007614BF" w:rsidRDefault="007614BF">
      <w:pPr>
        <w:spacing w:line="360" w:lineRule="auto"/>
        <w:jc w:val="center"/>
      </w:pPr>
      <w:r>
        <w:lastRenderedPageBreak/>
        <w:t>(</w:t>
      </w:r>
      <w:r>
        <w:rPr>
          <w:rFonts w:hint="eastAsia"/>
        </w:rPr>
        <w:t>裏面</w:t>
      </w:r>
      <w:r>
        <w:t>)</w:t>
      </w:r>
    </w:p>
    <w:p w:rsidR="007614BF" w:rsidRDefault="007614BF">
      <w:pPr>
        <w:jc w:val="center"/>
      </w:pPr>
      <w:r>
        <w:rPr>
          <w:rFonts w:hint="eastAsia"/>
        </w:rPr>
        <w:t>林業・木材産業改善資金県貸付金借用証書特約条項</w:t>
      </w:r>
    </w:p>
    <w:p w:rsidR="007614BF" w:rsidRDefault="007614BF"/>
    <w:p w:rsidR="007614BF" w:rsidRDefault="007614BF">
      <w:r>
        <w:rPr>
          <w:rFonts w:hint="eastAsia"/>
        </w:rPr>
        <w:t xml:space="preserve">　</w:t>
      </w:r>
      <w:r>
        <w:t>(</w:t>
      </w:r>
      <w:r>
        <w:rPr>
          <w:rFonts w:hint="eastAsia"/>
        </w:rPr>
        <w:t>借入金の使用</w:t>
      </w:r>
      <w:r>
        <w:t>)</w:t>
      </w:r>
    </w:p>
    <w:p w:rsidR="007614BF" w:rsidRDefault="007614BF">
      <w:pPr>
        <w:ind w:left="126" w:hanging="126"/>
      </w:pPr>
      <w:r>
        <w:rPr>
          <w:rFonts w:hint="eastAsia"/>
        </w:rPr>
        <w:t>第</w:t>
      </w:r>
      <w:r>
        <w:t>1</w:t>
      </w:r>
      <w:r>
        <w:rPr>
          <w:rFonts w:hint="eastAsia"/>
        </w:rPr>
        <w:t>条　債務者</w:t>
      </w:r>
      <w:r>
        <w:t>(</w:t>
      </w:r>
      <w:r>
        <w:rPr>
          <w:rFonts w:hint="eastAsia"/>
        </w:rPr>
        <w:t>以下「乙」という。注：融資機関</w:t>
      </w:r>
      <w:r>
        <w:t>)</w:t>
      </w:r>
      <w:r>
        <w:rPr>
          <w:rFonts w:hint="eastAsia"/>
        </w:rPr>
        <w:t>は福井県</w:t>
      </w:r>
      <w:r>
        <w:t>(</w:t>
      </w:r>
      <w:r>
        <w:rPr>
          <w:rFonts w:hint="eastAsia"/>
        </w:rPr>
        <w:t>以下「甲」という。</w:t>
      </w:r>
      <w:proofErr w:type="gramStart"/>
      <w:r>
        <w:t>)</w:t>
      </w:r>
      <w:r>
        <w:rPr>
          <w:rFonts w:hint="eastAsia"/>
        </w:rPr>
        <w:t>から借り受けたこの資金と同額を</w:t>
      </w:r>
      <w:proofErr w:type="gramEnd"/>
      <w:r>
        <w:rPr>
          <w:rFonts w:hint="eastAsia"/>
        </w:rPr>
        <w:t>、</w:t>
      </w:r>
      <w:r>
        <w:rPr>
          <w:rFonts w:hint="eastAsia"/>
          <w:u w:val="single"/>
        </w:rPr>
        <w:t xml:space="preserve">　　　　　　　</w:t>
      </w:r>
      <w:r>
        <w:t>(</w:t>
      </w:r>
      <w:r>
        <w:rPr>
          <w:rFonts w:hint="eastAsia"/>
        </w:rPr>
        <w:t>以下「丙」という。</w:t>
      </w:r>
      <w:proofErr w:type="gramStart"/>
      <w:r>
        <w:t>)</w:t>
      </w:r>
      <w:r>
        <w:rPr>
          <w:rFonts w:hint="eastAsia"/>
        </w:rPr>
        <w:t>に対し</w:t>
      </w:r>
      <w:proofErr w:type="gramEnd"/>
      <w:r>
        <w:rPr>
          <w:rFonts w:hint="eastAsia"/>
        </w:rPr>
        <w:t>、利率、償還期間、据置期間、償還方法および償還期日を甲乙間のものと同一にして転貸する。</w:t>
      </w:r>
    </w:p>
    <w:p w:rsidR="007614BF" w:rsidRDefault="007614BF">
      <w:r>
        <w:rPr>
          <w:rFonts w:hint="eastAsia"/>
        </w:rPr>
        <w:t xml:space="preserve">　</w:t>
      </w:r>
      <w:r>
        <w:t>(</w:t>
      </w:r>
      <w:r>
        <w:rPr>
          <w:rFonts w:hint="eastAsia"/>
        </w:rPr>
        <w:t>期限前償還</w:t>
      </w:r>
      <w:r>
        <w:t>)</w:t>
      </w:r>
    </w:p>
    <w:p w:rsidR="007614BF" w:rsidRDefault="007614BF">
      <w:pPr>
        <w:ind w:left="126" w:hanging="126"/>
      </w:pPr>
      <w:r>
        <w:rPr>
          <w:rFonts w:hint="eastAsia"/>
        </w:rPr>
        <w:t>第</w:t>
      </w:r>
      <w:r>
        <w:t>2</w:t>
      </w:r>
      <w:r>
        <w:rPr>
          <w:rFonts w:hint="eastAsia"/>
        </w:rPr>
        <w:t>条　乙は、甲が次の各号のいずれかに該当すると認め、期限前償還の請求をした場合には、償還期限</w:t>
      </w:r>
      <w:r>
        <w:t>(</w:t>
      </w:r>
      <w:r>
        <w:rPr>
          <w:rFonts w:hint="eastAsia"/>
        </w:rPr>
        <w:t>分割支払の各支払期日を含む。以下同じ。</w:t>
      </w:r>
      <w:proofErr w:type="gramStart"/>
      <w:r>
        <w:t>)</w:t>
      </w:r>
      <w:r>
        <w:rPr>
          <w:rFonts w:hint="eastAsia"/>
        </w:rPr>
        <w:t>にかかわらず</w:t>
      </w:r>
      <w:proofErr w:type="gramEnd"/>
      <w:r>
        <w:rPr>
          <w:rFonts w:hint="eastAsia"/>
        </w:rPr>
        <w:t>、直ちに債権の全部または一部を弁済する。</w:t>
      </w:r>
    </w:p>
    <w:p w:rsidR="007614BF" w:rsidRDefault="007614BF">
      <w:pPr>
        <w:ind w:left="560" w:hanging="560"/>
      </w:pPr>
      <w:r>
        <w:rPr>
          <w:rFonts w:hint="eastAsia"/>
        </w:rPr>
        <w:t xml:space="preserve">　</w:t>
      </w:r>
      <w:r>
        <w:t>(1)</w:t>
      </w:r>
      <w:r>
        <w:rPr>
          <w:rFonts w:hint="eastAsia"/>
        </w:rPr>
        <w:t xml:space="preserve">　乙が県貸付金を貸付目的以外の目的に使用したとき。</w:t>
      </w:r>
    </w:p>
    <w:p w:rsidR="007614BF" w:rsidRDefault="007614BF">
      <w:pPr>
        <w:ind w:left="560" w:hanging="560"/>
      </w:pPr>
      <w:r>
        <w:rPr>
          <w:rFonts w:hint="eastAsia"/>
        </w:rPr>
        <w:t xml:space="preserve">　</w:t>
      </w:r>
      <w:r>
        <w:t>(2)</w:t>
      </w:r>
      <w:r>
        <w:rPr>
          <w:rFonts w:hint="eastAsia"/>
        </w:rPr>
        <w:t xml:space="preserve">　乙が県貸付金の償還を怠ったとき</w:t>
      </w:r>
      <w:r>
        <w:t>(</w:t>
      </w:r>
      <w:r>
        <w:rPr>
          <w:rFonts w:hint="eastAsia"/>
        </w:rPr>
        <w:t>丙に転貸した資金の償還を林業・木材産業改善資金助成法</w:t>
      </w:r>
      <w:r>
        <w:t>(</w:t>
      </w:r>
      <w:r>
        <w:rPr>
          <w:rFonts w:hint="eastAsia"/>
        </w:rPr>
        <w:t>昭和</w:t>
      </w:r>
      <w:r>
        <w:t>51</w:t>
      </w:r>
      <w:r>
        <w:rPr>
          <w:rFonts w:hint="eastAsia"/>
        </w:rPr>
        <w:t>年法律第</w:t>
      </w:r>
      <w:r>
        <w:t>42</w:t>
      </w:r>
      <w:r>
        <w:rPr>
          <w:rFonts w:hint="eastAsia"/>
        </w:rPr>
        <w:t>号</w:t>
      </w:r>
      <w:r>
        <w:t>)</w:t>
      </w:r>
      <w:r>
        <w:rPr>
          <w:rFonts w:hint="eastAsia"/>
        </w:rPr>
        <w:t>第</w:t>
      </w:r>
      <w:r>
        <w:t>12</w:t>
      </w:r>
      <w:r>
        <w:rPr>
          <w:rFonts w:hint="eastAsia"/>
        </w:rPr>
        <w:t>条第</w:t>
      </w:r>
      <w:r>
        <w:t>2</w:t>
      </w:r>
      <w:r>
        <w:rPr>
          <w:rFonts w:hint="eastAsia"/>
        </w:rPr>
        <w:t>項において準用する同法第</w:t>
      </w:r>
      <w:r>
        <w:t>10</w:t>
      </w:r>
      <w:r>
        <w:rPr>
          <w:rFonts w:hint="eastAsia"/>
        </w:rPr>
        <w:t>条の規定により猶予したことにより、乙が県貸付金の償還を償還期日までに行うことができない場合を除く。</w:t>
      </w:r>
      <w:r>
        <w:t>)</w:t>
      </w:r>
      <w:r>
        <w:rPr>
          <w:rFonts w:hint="eastAsia"/>
        </w:rPr>
        <w:t>。</w:t>
      </w:r>
    </w:p>
    <w:p w:rsidR="007614BF" w:rsidRDefault="007614BF">
      <w:pPr>
        <w:ind w:left="560" w:hanging="560"/>
      </w:pPr>
      <w:r>
        <w:rPr>
          <w:rFonts w:hint="eastAsia"/>
        </w:rPr>
        <w:t xml:space="preserve">　</w:t>
      </w:r>
      <w:r>
        <w:t>(3)</w:t>
      </w:r>
      <w:r>
        <w:rPr>
          <w:rFonts w:hint="eastAsia"/>
        </w:rPr>
        <w:t xml:space="preserve">　乙が</w:t>
      </w:r>
      <w:proofErr w:type="gramStart"/>
      <w:r>
        <w:rPr>
          <w:rFonts w:hint="eastAsia"/>
        </w:rPr>
        <w:t>借受</w:t>
      </w:r>
      <w:proofErr w:type="gramEnd"/>
      <w:r>
        <w:rPr>
          <w:rFonts w:hint="eastAsia"/>
        </w:rPr>
        <w:t>金</w:t>
      </w:r>
      <w:proofErr w:type="gramStart"/>
      <w:r>
        <w:rPr>
          <w:rFonts w:hint="eastAsia"/>
        </w:rPr>
        <w:t>を</w:t>
      </w:r>
      <w:proofErr w:type="gramEnd"/>
      <w:r>
        <w:rPr>
          <w:rFonts w:hint="eastAsia"/>
        </w:rPr>
        <w:t>借入後速やかに貸付け</w:t>
      </w:r>
      <w:proofErr w:type="gramStart"/>
      <w:r>
        <w:rPr>
          <w:rFonts w:hint="eastAsia"/>
        </w:rPr>
        <w:t>を</w:t>
      </w:r>
      <w:proofErr w:type="gramEnd"/>
      <w:r>
        <w:rPr>
          <w:rFonts w:hint="eastAsia"/>
        </w:rPr>
        <w:t>しないとき。</w:t>
      </w:r>
    </w:p>
    <w:p w:rsidR="007614BF" w:rsidRDefault="007614BF">
      <w:pPr>
        <w:ind w:left="560" w:hanging="560"/>
      </w:pPr>
      <w:r>
        <w:rPr>
          <w:rFonts w:hint="eastAsia"/>
        </w:rPr>
        <w:t xml:space="preserve">　</w:t>
      </w:r>
      <w:r>
        <w:t>(4)</w:t>
      </w:r>
      <w:r>
        <w:rPr>
          <w:rFonts w:hint="eastAsia"/>
        </w:rPr>
        <w:t xml:space="preserve">　乙がこの資金の借入れに際し、または借入後この借入金債務の全部を弁済するまでの間において、甲に対し虚偽の申請もしくは報告をし、または故意に必要な事実の報告を怠ったとき。</w:t>
      </w:r>
    </w:p>
    <w:p w:rsidR="007614BF" w:rsidRDefault="007614BF">
      <w:pPr>
        <w:ind w:left="560" w:hanging="560"/>
      </w:pPr>
      <w:r>
        <w:rPr>
          <w:rFonts w:hint="eastAsia"/>
        </w:rPr>
        <w:t xml:space="preserve">　</w:t>
      </w:r>
      <w:r>
        <w:t>(5)</w:t>
      </w:r>
      <w:r>
        <w:rPr>
          <w:rFonts w:hint="eastAsia"/>
        </w:rPr>
        <w:t xml:space="preserve">　乙につき仮差押えもしくは差押えの申請または競売の申立があったときまたは破産手続開始もしくは民事再生手続開始の申立があったとき。</w:t>
      </w:r>
    </w:p>
    <w:p w:rsidR="007614BF" w:rsidRDefault="007614BF">
      <w:pPr>
        <w:ind w:left="560" w:hanging="560"/>
      </w:pPr>
      <w:r>
        <w:rPr>
          <w:rFonts w:hint="eastAsia"/>
        </w:rPr>
        <w:t xml:space="preserve">　</w:t>
      </w:r>
      <w:r>
        <w:t>(6)</w:t>
      </w:r>
      <w:r>
        <w:rPr>
          <w:rFonts w:hint="eastAsia"/>
        </w:rPr>
        <w:t xml:space="preserve">　乙が支払を停止し、もしくは手形交換所から銀行取引停止処分を受けたときまたは清算手続に入ったとき。</w:t>
      </w:r>
    </w:p>
    <w:p w:rsidR="007614BF" w:rsidRDefault="007614BF">
      <w:pPr>
        <w:ind w:left="560" w:hanging="560"/>
      </w:pPr>
      <w:r>
        <w:rPr>
          <w:rFonts w:hint="eastAsia"/>
        </w:rPr>
        <w:t xml:space="preserve">　</w:t>
      </w:r>
      <w:r>
        <w:t>(7)</w:t>
      </w:r>
      <w:r>
        <w:rPr>
          <w:rFonts w:hint="eastAsia"/>
        </w:rPr>
        <w:t xml:space="preserve">　乙が租税公課を滞納して督促または差押えを受けたとき。</w:t>
      </w:r>
    </w:p>
    <w:p w:rsidR="007614BF" w:rsidRDefault="007614BF">
      <w:pPr>
        <w:ind w:left="560" w:hanging="560"/>
      </w:pPr>
      <w:r>
        <w:rPr>
          <w:rFonts w:hint="eastAsia"/>
        </w:rPr>
        <w:t xml:space="preserve">　</w:t>
      </w:r>
      <w:r>
        <w:t>(8)</w:t>
      </w:r>
      <w:r>
        <w:rPr>
          <w:rFonts w:hint="eastAsia"/>
        </w:rPr>
        <w:t xml:space="preserve">　乙が甲に対し数個の債務を負う場合において、その一つでも期限に弁済しなかったとき。</w:t>
      </w:r>
    </w:p>
    <w:p w:rsidR="007614BF" w:rsidRDefault="007614BF">
      <w:pPr>
        <w:ind w:left="560" w:hanging="560"/>
      </w:pPr>
      <w:r>
        <w:rPr>
          <w:rFonts w:hint="eastAsia"/>
        </w:rPr>
        <w:t xml:space="preserve">　</w:t>
      </w:r>
      <w:r>
        <w:t>(9)</w:t>
      </w:r>
      <w:r>
        <w:rPr>
          <w:rFonts w:hint="eastAsia"/>
        </w:rPr>
        <w:t xml:space="preserve">　乙が福井県林業・木材産業改善資金貸付規則およびこの契約またはこれらに基づく義務の履行を怠ったとき。</w:t>
      </w:r>
    </w:p>
    <w:p w:rsidR="007614BF" w:rsidRDefault="007614BF">
      <w:pPr>
        <w:ind w:left="560" w:hanging="560"/>
      </w:pPr>
      <w:r>
        <w:rPr>
          <w:rFonts w:hint="eastAsia"/>
        </w:rPr>
        <w:t xml:space="preserve">　</w:t>
      </w:r>
      <w:r>
        <w:t>(10)</w:t>
      </w:r>
      <w:r>
        <w:rPr>
          <w:rFonts w:hint="eastAsia"/>
        </w:rPr>
        <w:t xml:space="preserve">　その他甲が債権保全上著しい支障があると認めたとき。</w:t>
      </w:r>
    </w:p>
    <w:p w:rsidR="007614BF" w:rsidRDefault="007614BF">
      <w:r>
        <w:rPr>
          <w:rFonts w:hint="eastAsia"/>
        </w:rPr>
        <w:t xml:space="preserve">　</w:t>
      </w:r>
      <w:r>
        <w:t>(</w:t>
      </w:r>
      <w:r>
        <w:rPr>
          <w:rFonts w:hint="eastAsia"/>
        </w:rPr>
        <w:t>繰上償還</w:t>
      </w:r>
      <w:r>
        <w:t>)</w:t>
      </w:r>
    </w:p>
    <w:p w:rsidR="007614BF" w:rsidRDefault="007614BF">
      <w:pPr>
        <w:ind w:left="126" w:hanging="126"/>
      </w:pPr>
      <w:r>
        <w:rPr>
          <w:rFonts w:hint="eastAsia"/>
        </w:rPr>
        <w:t>第</w:t>
      </w:r>
      <w:r>
        <w:t>3</w:t>
      </w:r>
      <w:r>
        <w:rPr>
          <w:rFonts w:hint="eastAsia"/>
        </w:rPr>
        <w:t>条　乙は、償還期限にかかわらず借入金の全部または一部を甲に繰上償還することができる。</w:t>
      </w:r>
    </w:p>
    <w:p w:rsidR="007614BF" w:rsidRDefault="007614BF">
      <w:r>
        <w:rPr>
          <w:rFonts w:hint="eastAsia"/>
        </w:rPr>
        <w:t xml:space="preserve">　</w:t>
      </w:r>
      <w:r>
        <w:t>(</w:t>
      </w:r>
      <w:r>
        <w:rPr>
          <w:rFonts w:hint="eastAsia"/>
        </w:rPr>
        <w:t>転貸債権の期限前償還及び繰上償還</w:t>
      </w:r>
      <w:r>
        <w:t>)</w:t>
      </w:r>
    </w:p>
    <w:p w:rsidR="007614BF" w:rsidRDefault="007614BF">
      <w:pPr>
        <w:ind w:left="126" w:hanging="126"/>
      </w:pPr>
      <w:r>
        <w:rPr>
          <w:rFonts w:hint="eastAsia"/>
        </w:rPr>
        <w:t>第</w:t>
      </w:r>
      <w:r>
        <w:t>4</w:t>
      </w:r>
      <w:r>
        <w:rPr>
          <w:rFonts w:hint="eastAsia"/>
        </w:rPr>
        <w:t>条　乙は、乙丙間の特約に基づき丙に債務の期限前償還を請求しようとするときは、あらかじめ甲に通知するものとする。</w:t>
      </w:r>
    </w:p>
    <w:p w:rsidR="007614BF" w:rsidRDefault="007614BF">
      <w:pPr>
        <w:ind w:left="126" w:hanging="126"/>
      </w:pPr>
      <w:r>
        <w:t>2</w:t>
      </w:r>
      <w:r>
        <w:rPr>
          <w:rFonts w:hint="eastAsia"/>
        </w:rPr>
        <w:t xml:space="preserve">　乙は、乙丙間の特約に基づき丙に対し債務の期限前償還を請求してその弁済を受けたときまたは丙の任意の弁済を受けたときは、速やかに受領額をこの契約に定める償還期限にかかわらず甲に償還する。</w:t>
      </w:r>
    </w:p>
    <w:p w:rsidR="007614BF" w:rsidRDefault="007614BF">
      <w:pPr>
        <w:ind w:left="126" w:hanging="126"/>
      </w:pPr>
      <w:r>
        <w:t>3</w:t>
      </w:r>
      <w:r>
        <w:rPr>
          <w:rFonts w:hint="eastAsia"/>
        </w:rPr>
        <w:t xml:space="preserve">　甲は、乙が乙丙間の特約に基づき丙に対し債務の期限前償還を請求できる場合には、丙に期限前償還の請求をするよう乙に対し指示することができる。</w:t>
      </w:r>
    </w:p>
    <w:p w:rsidR="007614BF" w:rsidRDefault="007614BF">
      <w:r>
        <w:rPr>
          <w:rFonts w:hint="eastAsia"/>
        </w:rPr>
        <w:t xml:space="preserve">　</w:t>
      </w:r>
      <w:r>
        <w:t>(</w:t>
      </w:r>
      <w:r>
        <w:rPr>
          <w:rFonts w:hint="eastAsia"/>
        </w:rPr>
        <w:t>経理上の措置</w:t>
      </w:r>
      <w:r>
        <w:t>)</w:t>
      </w:r>
    </w:p>
    <w:p w:rsidR="007614BF" w:rsidRDefault="007614BF">
      <w:pPr>
        <w:ind w:left="126" w:hanging="126"/>
      </w:pPr>
      <w:r>
        <w:rPr>
          <w:rFonts w:hint="eastAsia"/>
        </w:rPr>
        <w:t>第</w:t>
      </w:r>
      <w:r>
        <w:t>5</w:t>
      </w:r>
      <w:r>
        <w:rPr>
          <w:rFonts w:hint="eastAsia"/>
        </w:rPr>
        <w:t>条　乙は、この借入金の使途を明らかにするため、甲の指示するところに従い、経理上必要な措置を行う。</w:t>
      </w:r>
    </w:p>
    <w:p w:rsidR="007614BF" w:rsidRDefault="007614BF">
      <w:r>
        <w:rPr>
          <w:rFonts w:hint="eastAsia"/>
        </w:rPr>
        <w:t xml:space="preserve">　</w:t>
      </w:r>
      <w:r>
        <w:t>(</w:t>
      </w:r>
      <w:r>
        <w:rPr>
          <w:rFonts w:hint="eastAsia"/>
        </w:rPr>
        <w:t>報告</w:t>
      </w:r>
      <w:r>
        <w:t>)</w:t>
      </w:r>
    </w:p>
    <w:p w:rsidR="007614BF" w:rsidRDefault="007614BF">
      <w:pPr>
        <w:ind w:left="126" w:hanging="126"/>
      </w:pPr>
      <w:r>
        <w:rPr>
          <w:rFonts w:hint="eastAsia"/>
        </w:rPr>
        <w:t>第</w:t>
      </w:r>
      <w:r>
        <w:t>6</w:t>
      </w:r>
      <w:r>
        <w:rPr>
          <w:rFonts w:hint="eastAsia"/>
        </w:rPr>
        <w:t>条　乙は次の各号に掲げる場合には、甲の定めるところにより、遅滞なく甲に報告する。</w:t>
      </w:r>
    </w:p>
    <w:p w:rsidR="007614BF" w:rsidRDefault="007614BF">
      <w:pPr>
        <w:ind w:left="560" w:hanging="560"/>
      </w:pPr>
      <w:r>
        <w:rPr>
          <w:rFonts w:hint="eastAsia"/>
        </w:rPr>
        <w:t xml:space="preserve">　</w:t>
      </w:r>
      <w:r>
        <w:t>(1)</w:t>
      </w:r>
      <w:r>
        <w:rPr>
          <w:rFonts w:hint="eastAsia"/>
        </w:rPr>
        <w:t xml:space="preserve">　この借入金の転借により改良、造成または取得された施設が貸付けの目的に反して使用され、譲渡され、交換され、貸し付けられ、もしくは担保に供され、または公用収用されることとなったことを知った場合</w:t>
      </w:r>
    </w:p>
    <w:p w:rsidR="007614BF" w:rsidRDefault="007614BF">
      <w:pPr>
        <w:ind w:left="560" w:hanging="560"/>
      </w:pPr>
      <w:r>
        <w:rPr>
          <w:rFonts w:hint="eastAsia"/>
        </w:rPr>
        <w:t xml:space="preserve">　</w:t>
      </w:r>
      <w:r>
        <w:t>(2)</w:t>
      </w:r>
      <w:r>
        <w:rPr>
          <w:rFonts w:hint="eastAsia"/>
        </w:rPr>
        <w:t xml:space="preserve">　乙の住所、名称、資本金もしくは代表者に異動を生じ、または乙に解散その他これに準ずる事実が発生した場合</w:t>
      </w:r>
    </w:p>
    <w:p w:rsidR="007614BF" w:rsidRDefault="007614BF">
      <w:pPr>
        <w:ind w:left="560" w:hanging="560"/>
      </w:pPr>
      <w:r>
        <w:rPr>
          <w:rFonts w:hint="eastAsia"/>
        </w:rPr>
        <w:t xml:space="preserve">　</w:t>
      </w:r>
      <w:r>
        <w:t>(3)</w:t>
      </w:r>
      <w:r>
        <w:rPr>
          <w:rFonts w:hint="eastAsia"/>
        </w:rPr>
        <w:t xml:space="preserve">　乙の資産もしくは事業の状況に著しい変動を生じ、またはそのおそれのある場合</w:t>
      </w:r>
    </w:p>
    <w:p w:rsidR="007614BF" w:rsidRDefault="007614BF">
      <w:pPr>
        <w:ind w:left="560" w:hanging="560"/>
      </w:pPr>
      <w:r>
        <w:rPr>
          <w:rFonts w:hint="eastAsia"/>
        </w:rPr>
        <w:t xml:space="preserve">　</w:t>
      </w:r>
      <w:r>
        <w:t>(4)</w:t>
      </w:r>
      <w:r>
        <w:rPr>
          <w:rFonts w:hint="eastAsia"/>
        </w:rPr>
        <w:t xml:space="preserve">　上記のほか、乙丙間の特約に基づき丙より報告を受けた場合</w:t>
      </w:r>
    </w:p>
    <w:p w:rsidR="007614BF" w:rsidRDefault="007614BF">
      <w:pPr>
        <w:ind w:left="560" w:hanging="560"/>
      </w:pPr>
      <w:r>
        <w:rPr>
          <w:rFonts w:hint="eastAsia"/>
        </w:rPr>
        <w:t xml:space="preserve">　</w:t>
      </w:r>
      <w:r>
        <w:t>(5)</w:t>
      </w:r>
      <w:r>
        <w:rPr>
          <w:rFonts w:hint="eastAsia"/>
        </w:rPr>
        <w:t xml:space="preserve">　その他甲が指示する場合</w:t>
      </w:r>
    </w:p>
    <w:p w:rsidR="007614BF" w:rsidRDefault="007614BF">
      <w:r>
        <w:rPr>
          <w:rFonts w:hint="eastAsia"/>
        </w:rPr>
        <w:t xml:space="preserve">　</w:t>
      </w:r>
      <w:r>
        <w:t>(</w:t>
      </w:r>
      <w:r>
        <w:rPr>
          <w:rFonts w:hint="eastAsia"/>
        </w:rPr>
        <w:t>調査</w:t>
      </w:r>
      <w:r>
        <w:t>)</w:t>
      </w:r>
    </w:p>
    <w:p w:rsidR="007614BF" w:rsidRDefault="007614BF">
      <w:pPr>
        <w:ind w:left="126" w:hanging="126"/>
      </w:pPr>
      <w:r>
        <w:rPr>
          <w:rFonts w:hint="eastAsia"/>
        </w:rPr>
        <w:t>第</w:t>
      </w:r>
      <w:r>
        <w:t>7</w:t>
      </w:r>
      <w:r>
        <w:rPr>
          <w:rFonts w:hint="eastAsia"/>
        </w:rPr>
        <w:t>条　乙は、甲の職員その他甲の委嘱を受けた者が、乙の事務所その他必要な場所に立ち入り、事業の状況、書類、帳簿その他必要な事項または担保物件の調査をすることを承認する。</w:t>
      </w:r>
    </w:p>
    <w:p w:rsidR="007614BF" w:rsidRDefault="007614BF">
      <w:r>
        <w:rPr>
          <w:rFonts w:hint="eastAsia"/>
        </w:rPr>
        <w:t xml:space="preserve">　</w:t>
      </w:r>
      <w:r>
        <w:t>(</w:t>
      </w:r>
      <w:r>
        <w:rPr>
          <w:rFonts w:hint="eastAsia"/>
        </w:rPr>
        <w:t>弁済充当の指定権</w:t>
      </w:r>
      <w:r>
        <w:t>)</w:t>
      </w:r>
    </w:p>
    <w:p w:rsidR="007614BF" w:rsidRDefault="007614BF">
      <w:pPr>
        <w:ind w:left="126" w:hanging="126"/>
      </w:pPr>
      <w:r>
        <w:rPr>
          <w:rFonts w:hint="eastAsia"/>
        </w:rPr>
        <w:t>第</w:t>
      </w:r>
      <w:r>
        <w:t>8</w:t>
      </w:r>
      <w:r>
        <w:rPr>
          <w:rFonts w:hint="eastAsia"/>
        </w:rPr>
        <w:t>条　乙は、丙より受領した弁済金の充当について甲の指示があるときは、それに従うことを承認する。</w:t>
      </w:r>
    </w:p>
    <w:p w:rsidR="007614BF" w:rsidRDefault="007614BF">
      <w:r>
        <w:rPr>
          <w:rFonts w:hint="eastAsia"/>
        </w:rPr>
        <w:t xml:space="preserve">　</w:t>
      </w:r>
      <w:r>
        <w:t>(</w:t>
      </w:r>
      <w:r>
        <w:rPr>
          <w:rFonts w:hint="eastAsia"/>
        </w:rPr>
        <w:t>違約金</w:t>
      </w:r>
      <w:r>
        <w:t>)</w:t>
      </w:r>
    </w:p>
    <w:p w:rsidR="007614BF" w:rsidRDefault="007614BF">
      <w:pPr>
        <w:ind w:left="126" w:hanging="126"/>
      </w:pPr>
      <w:r>
        <w:rPr>
          <w:rFonts w:hint="eastAsia"/>
        </w:rPr>
        <w:t>第</w:t>
      </w:r>
      <w:r>
        <w:t>9</w:t>
      </w:r>
      <w:r>
        <w:rPr>
          <w:rFonts w:hint="eastAsia"/>
        </w:rPr>
        <w:t>条　乙は、支払期日に償還金を支払わなかった場合または甲の指定する支払期日に第</w:t>
      </w:r>
      <w:r>
        <w:t>2</w:t>
      </w:r>
      <w:r>
        <w:rPr>
          <w:rFonts w:hint="eastAsia"/>
          <w:spacing w:val="5"/>
        </w:rPr>
        <w:t>条の規定により期限前償還すべき金額を支払わなかった場合には、延滞金額につき年</w:t>
      </w:r>
      <w:r>
        <w:t>12.25</w:t>
      </w:r>
      <w:r>
        <w:rPr>
          <w:rFonts w:hint="eastAsia"/>
        </w:rPr>
        <w:t>パーセントの割合をもって支払期日の翌日から支払当日までの日数により計算した延滞に係る違約金を甲に支払う。</w:t>
      </w:r>
    </w:p>
    <w:p w:rsidR="007614BF" w:rsidRDefault="007614BF">
      <w:pPr>
        <w:ind w:left="126" w:hanging="126"/>
      </w:pPr>
      <w:r>
        <w:t>2</w:t>
      </w:r>
      <w:r>
        <w:rPr>
          <w:rFonts w:hint="eastAsia"/>
        </w:rPr>
        <w:t xml:space="preserve">　乙は、丙が林業・木材産業改善資金助成法第</w:t>
      </w:r>
      <w:r>
        <w:t>10</w:t>
      </w:r>
      <w:r>
        <w:rPr>
          <w:rFonts w:hint="eastAsia"/>
        </w:rPr>
        <w:t>条の規定による支払の猶予の申請をした場合において、支払期日を過ぎて猶予しない旨の決定があった場合においても、前項の規定による違約金を支払う。</w:t>
      </w:r>
    </w:p>
    <w:p w:rsidR="007614BF" w:rsidRDefault="007614BF">
      <w:pPr>
        <w:ind w:left="126" w:hanging="126"/>
      </w:pPr>
      <w:r>
        <w:t>3</w:t>
      </w:r>
      <w:r>
        <w:rPr>
          <w:rFonts w:hint="eastAsia"/>
        </w:rPr>
        <w:t xml:space="preserve">　乙は、第</w:t>
      </w:r>
      <w:r>
        <w:t>2</w:t>
      </w:r>
      <w:r>
        <w:rPr>
          <w:rFonts w:hint="eastAsia"/>
        </w:rPr>
        <w:t>条第</w:t>
      </w:r>
      <w:r>
        <w:t>1</w:t>
      </w:r>
      <w:r>
        <w:rPr>
          <w:rFonts w:hint="eastAsia"/>
        </w:rPr>
        <w:t>号、第</w:t>
      </w:r>
      <w:r>
        <w:t>3</w:t>
      </w:r>
      <w:r>
        <w:rPr>
          <w:rFonts w:hint="eastAsia"/>
        </w:rPr>
        <w:t>号、第</w:t>
      </w:r>
      <w:r>
        <w:t>4</w:t>
      </w:r>
      <w:r>
        <w:rPr>
          <w:rFonts w:hint="eastAsia"/>
        </w:rPr>
        <w:t>号または第</w:t>
      </w:r>
      <w:r>
        <w:t>9</w:t>
      </w:r>
      <w:r>
        <w:rPr>
          <w:rFonts w:hint="eastAsia"/>
        </w:rPr>
        <w:t>号に該当したことを理由として甲から期限前償還の請求を受けたときは、当該請求に係る貸付金の貸付けの日から期限前償還金の支払の日までの日数に応じ当該請求に係る貸付金の額につき年</w:t>
      </w:r>
      <w:r>
        <w:t>12.25</w:t>
      </w:r>
      <w:r>
        <w:rPr>
          <w:rFonts w:hint="eastAsia"/>
        </w:rPr>
        <w:t>パーセントの割合で計算した期限前償還の請求に係る違約金を併せて支払うものとする。</w:t>
      </w:r>
    </w:p>
    <w:p w:rsidR="007614BF" w:rsidRDefault="007614BF">
      <w:pPr>
        <w:ind w:left="126" w:hanging="126"/>
      </w:pPr>
      <w:r>
        <w:t>4</w:t>
      </w:r>
      <w:r>
        <w:rPr>
          <w:rFonts w:hint="eastAsia"/>
        </w:rPr>
        <w:t xml:space="preserve">　乙は、乙丙間の特約により丙に対し違約金を請求できる事態が生じたときは、その旨を甲に報告し、甲の指示に従う。</w:t>
      </w:r>
    </w:p>
    <w:p w:rsidR="007614BF" w:rsidRDefault="007614BF">
      <w:pPr>
        <w:ind w:left="126" w:hanging="126"/>
      </w:pPr>
      <w:r>
        <w:t>5</w:t>
      </w:r>
      <w:r>
        <w:rPr>
          <w:rFonts w:hint="eastAsia"/>
        </w:rPr>
        <w:t xml:space="preserve">　乙は、前項により丙に対し違約金を請求して弁済を受けたときは、速やかにこれを甲に引き渡す。</w:t>
      </w:r>
    </w:p>
    <w:p w:rsidR="007614BF" w:rsidRDefault="007614BF">
      <w:r>
        <w:rPr>
          <w:rFonts w:hint="eastAsia"/>
        </w:rPr>
        <w:t xml:space="preserve">　</w:t>
      </w:r>
      <w:r>
        <w:t>(</w:t>
      </w:r>
      <w:r>
        <w:rPr>
          <w:rFonts w:hint="eastAsia"/>
        </w:rPr>
        <w:t>転貸債権の質入</w:t>
      </w:r>
      <w:r>
        <w:t>)</w:t>
      </w:r>
    </w:p>
    <w:p w:rsidR="007614BF" w:rsidRDefault="007614BF">
      <w:pPr>
        <w:ind w:left="126" w:hanging="126"/>
      </w:pPr>
      <w:r>
        <w:rPr>
          <w:rFonts w:hint="eastAsia"/>
        </w:rPr>
        <w:t>第</w:t>
      </w:r>
      <w:r>
        <w:t>10</w:t>
      </w:r>
      <w:r>
        <w:rPr>
          <w:rFonts w:hint="eastAsia"/>
        </w:rPr>
        <w:t>条　乙は、この借入金債務の担保として、甲の指定に基づき別に締結する質権設定契約により丙に対する転貸債権を甲に質入れする。</w:t>
      </w:r>
    </w:p>
    <w:p w:rsidR="007614BF" w:rsidRDefault="007614BF">
      <w:r>
        <w:rPr>
          <w:rFonts w:hint="eastAsia"/>
        </w:rPr>
        <w:t xml:space="preserve">　</w:t>
      </w:r>
      <w:r>
        <w:t>(</w:t>
      </w:r>
      <w:r>
        <w:rPr>
          <w:rFonts w:hint="eastAsia"/>
        </w:rPr>
        <w:t>合意管轄</w:t>
      </w:r>
      <w:r>
        <w:t>)</w:t>
      </w:r>
    </w:p>
    <w:p w:rsidR="007614BF" w:rsidRDefault="007614BF">
      <w:pPr>
        <w:ind w:left="126" w:hanging="126"/>
      </w:pPr>
      <w:r>
        <w:rPr>
          <w:rFonts w:hint="eastAsia"/>
        </w:rPr>
        <w:t>第</w:t>
      </w:r>
      <w:r>
        <w:t>11</w:t>
      </w:r>
      <w:r>
        <w:rPr>
          <w:rFonts w:hint="eastAsia"/>
        </w:rPr>
        <w:t>条　乙および甲は、この契約に関する訴訟につき福井地方裁判所を管轄裁判所とすることに合意する。</w:t>
      </w:r>
    </w:p>
    <w:sectPr w:rsidR="007614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1D" w:rsidRDefault="000D4B1D" w:rsidP="00BF0108">
      <w:r>
        <w:separator/>
      </w:r>
    </w:p>
  </w:endnote>
  <w:endnote w:type="continuationSeparator" w:id="0">
    <w:p w:rsidR="000D4B1D" w:rsidRDefault="000D4B1D" w:rsidP="00B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1D" w:rsidRDefault="000D4B1D" w:rsidP="00BF0108">
      <w:r>
        <w:separator/>
      </w:r>
    </w:p>
  </w:footnote>
  <w:footnote w:type="continuationSeparator" w:id="0">
    <w:p w:rsidR="000D4B1D" w:rsidRDefault="000D4B1D" w:rsidP="00BF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BF"/>
    <w:rsid w:val="000D4B1D"/>
    <w:rsid w:val="00263B9F"/>
    <w:rsid w:val="003114AE"/>
    <w:rsid w:val="004741BC"/>
    <w:rsid w:val="0050022D"/>
    <w:rsid w:val="00631793"/>
    <w:rsid w:val="00673927"/>
    <w:rsid w:val="00674496"/>
    <w:rsid w:val="00746752"/>
    <w:rsid w:val="007614BF"/>
    <w:rsid w:val="00875763"/>
    <w:rsid w:val="008A5BF7"/>
    <w:rsid w:val="009449BC"/>
    <w:rsid w:val="00A81C48"/>
    <w:rsid w:val="00BB4970"/>
    <w:rsid w:val="00BF0108"/>
    <w:rsid w:val="00DF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inline">
    <w:name w:val="inline"/>
    <w:basedOn w:val="a0"/>
    <w:uiPriority w:val="99"/>
    <w:rsid w:val="004741BC"/>
    <w:rPr>
      <w:rFonts w:cs="Times New Roman"/>
    </w:rPr>
  </w:style>
  <w:style w:type="paragraph" w:styleId="a7">
    <w:name w:val="Balloon Text"/>
    <w:basedOn w:val="a"/>
    <w:link w:val="a8"/>
    <w:uiPriority w:val="99"/>
    <w:semiHidden/>
    <w:unhideWhenUsed/>
    <w:rsid w:val="00DF60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072"/>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inline">
    <w:name w:val="inline"/>
    <w:basedOn w:val="a0"/>
    <w:uiPriority w:val="99"/>
    <w:rsid w:val="004741BC"/>
    <w:rPr>
      <w:rFonts w:cs="Times New Roman"/>
    </w:rPr>
  </w:style>
  <w:style w:type="paragraph" w:styleId="a7">
    <w:name w:val="Balloon Text"/>
    <w:basedOn w:val="a"/>
    <w:link w:val="a8"/>
    <w:uiPriority w:val="99"/>
    <w:semiHidden/>
    <w:unhideWhenUsed/>
    <w:rsid w:val="00DF60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07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2346</Characters>
  <Application>Microsoft Office Word</Application>
  <DocSecurity>0</DocSecurity>
  <Lines>19</Lines>
  <Paragraphs>5</Paragraphs>
  <ScaleCrop>false</ScaleCrop>
  <Company>DAI-ICHI HOKI.,Ltd.</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#西澤 環</cp:lastModifiedBy>
  <cp:revision>3</cp:revision>
  <cp:lastPrinted>2021-10-04T07:37:00Z</cp:lastPrinted>
  <dcterms:created xsi:type="dcterms:W3CDTF">2021-10-04T07:46:00Z</dcterms:created>
  <dcterms:modified xsi:type="dcterms:W3CDTF">2021-10-04T07:47:00Z</dcterms:modified>
</cp:coreProperties>
</file>